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E568D" w14:textId="54AA415E" w:rsidR="00E90E49" w:rsidRPr="00AB7D11" w:rsidRDefault="00E90E49" w:rsidP="00E35559">
      <w:pPr>
        <w:pStyle w:val="3GPPHeader"/>
        <w:spacing w:after="60"/>
        <w:rPr>
          <w:sz w:val="32"/>
          <w:szCs w:val="32"/>
        </w:rPr>
      </w:pPr>
      <w:r w:rsidRPr="00CE0424">
        <w:t xml:space="preserve">3GPP TSG-RAN </w:t>
      </w:r>
      <w:r w:rsidR="002540DC">
        <w:t>Meeting</w:t>
      </w:r>
      <w:r w:rsidRPr="00CE0424">
        <w:t>#</w:t>
      </w:r>
      <w:r w:rsidR="00413DEB">
        <w:t>92</w:t>
      </w:r>
      <w:r w:rsidR="00F20F5C">
        <w:t>e</w:t>
      </w:r>
      <w:r w:rsidRPr="00CE0424">
        <w:tab/>
      </w:r>
      <w:r w:rsidRPr="00CE0424">
        <w:rPr>
          <w:sz w:val="32"/>
          <w:szCs w:val="32"/>
        </w:rPr>
        <w:t xml:space="preserve">Tdoc </w:t>
      </w:r>
      <w:r w:rsidR="00091557" w:rsidRPr="00CE0424">
        <w:rPr>
          <w:sz w:val="32"/>
          <w:szCs w:val="32"/>
        </w:rPr>
        <w:t>R</w:t>
      </w:r>
      <w:r w:rsidR="00413DEB">
        <w:rPr>
          <w:sz w:val="32"/>
          <w:szCs w:val="32"/>
        </w:rPr>
        <w:t>P</w:t>
      </w:r>
      <w:r w:rsidR="00091557" w:rsidRPr="00CE0424">
        <w:rPr>
          <w:sz w:val="32"/>
          <w:szCs w:val="32"/>
        </w:rPr>
        <w:t>-</w:t>
      </w:r>
      <w:r w:rsidR="00F20F5C" w:rsidRPr="00AB7D11">
        <w:rPr>
          <w:sz w:val="32"/>
          <w:szCs w:val="32"/>
        </w:rPr>
        <w:t>2</w:t>
      </w:r>
      <w:r w:rsidR="002270E9" w:rsidRPr="00AB7D11">
        <w:rPr>
          <w:sz w:val="32"/>
          <w:szCs w:val="32"/>
        </w:rPr>
        <w:t>1</w:t>
      </w:r>
      <w:r w:rsidR="00AB7D11" w:rsidRPr="00AB7D11">
        <w:rPr>
          <w:sz w:val="32"/>
          <w:szCs w:val="32"/>
        </w:rPr>
        <w:t>1257</w:t>
      </w:r>
    </w:p>
    <w:p w14:paraId="12BB274F" w14:textId="1D27A43A" w:rsidR="00E90E49" w:rsidRPr="00CE0424" w:rsidRDefault="00C268E6" w:rsidP="00311702">
      <w:pPr>
        <w:pStyle w:val="3GPPHeader"/>
      </w:pPr>
      <w:r>
        <w:t xml:space="preserve">Electronic </w:t>
      </w:r>
      <w:r w:rsidR="002540DC">
        <w:t>M</w:t>
      </w:r>
      <w:r>
        <w:t xml:space="preserve">eeting, </w:t>
      </w:r>
      <w:r w:rsidR="00F5107B">
        <w:t>June</w:t>
      </w:r>
      <w:r w:rsidR="00413DEB">
        <w:t>1</w:t>
      </w:r>
      <w:r w:rsidR="00F25B5B">
        <w:t xml:space="preserve">4 – </w:t>
      </w:r>
      <w:r w:rsidR="00413DEB">
        <w:t>18</w:t>
      </w:r>
      <w:r>
        <w:t xml:space="preserve">, </w:t>
      </w:r>
      <w:r w:rsidR="002270E9" w:rsidRPr="002270E9">
        <w:t>2021</w:t>
      </w:r>
    </w:p>
    <w:p w14:paraId="30DFAB23" w14:textId="77777777" w:rsidR="00E90E49" w:rsidRPr="00CE0424" w:rsidRDefault="00E90E49" w:rsidP="00357380">
      <w:pPr>
        <w:pStyle w:val="3GPPHeader"/>
      </w:pPr>
    </w:p>
    <w:p w14:paraId="0FB5225A" w14:textId="0753831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B7D11" w:rsidRPr="00AB7D11">
        <w:rPr>
          <w:sz w:val="22"/>
          <w:szCs w:val="22"/>
        </w:rPr>
        <w:t>9.7.2.1</w:t>
      </w:r>
    </w:p>
    <w:p w14:paraId="32F398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3BF24F" w14:textId="23088CAD" w:rsidR="00E90E49" w:rsidRPr="00CE0424" w:rsidRDefault="003D3C45" w:rsidP="00311702">
      <w:pPr>
        <w:pStyle w:val="3GPPHeader"/>
        <w:rPr>
          <w:sz w:val="22"/>
          <w:szCs w:val="22"/>
        </w:rPr>
      </w:pPr>
      <w:r>
        <w:rPr>
          <w:sz w:val="22"/>
          <w:szCs w:val="22"/>
        </w:rPr>
        <w:t>Title:</w:t>
      </w:r>
      <w:r w:rsidR="00E90E49" w:rsidRPr="00CE0424">
        <w:rPr>
          <w:sz w:val="22"/>
          <w:szCs w:val="22"/>
        </w:rPr>
        <w:tab/>
      </w:r>
      <w:r w:rsidR="00471C9D">
        <w:rPr>
          <w:sz w:val="22"/>
          <w:szCs w:val="22"/>
        </w:rPr>
        <w:t xml:space="preserve">On CSI </w:t>
      </w:r>
      <w:r w:rsidR="00AB7D11">
        <w:rPr>
          <w:sz w:val="22"/>
          <w:szCs w:val="22"/>
        </w:rPr>
        <w:t>F</w:t>
      </w:r>
      <w:r w:rsidR="00AB7D11" w:rsidRPr="00AB7D11">
        <w:rPr>
          <w:sz w:val="22"/>
          <w:szCs w:val="22"/>
        </w:rPr>
        <w:t xml:space="preserve">eedback </w:t>
      </w:r>
      <w:r w:rsidR="00AB7D11">
        <w:rPr>
          <w:sz w:val="22"/>
          <w:szCs w:val="22"/>
        </w:rPr>
        <w:t>E</w:t>
      </w:r>
      <w:r w:rsidR="00AB7D11" w:rsidRPr="00AB7D11">
        <w:rPr>
          <w:sz w:val="22"/>
          <w:szCs w:val="22"/>
        </w:rPr>
        <w:t>nhancements</w:t>
      </w:r>
      <w:r w:rsidR="00DD3C69">
        <w:rPr>
          <w:sz w:val="22"/>
          <w:szCs w:val="22"/>
        </w:rPr>
        <w:t xml:space="preserve"> for </w:t>
      </w:r>
      <w:r w:rsidR="00AB7D11">
        <w:rPr>
          <w:sz w:val="22"/>
          <w:szCs w:val="22"/>
        </w:rPr>
        <w:t>E</w:t>
      </w:r>
      <w:r w:rsidR="00AB7D11" w:rsidRPr="00AB7D11">
        <w:rPr>
          <w:sz w:val="22"/>
          <w:szCs w:val="22"/>
        </w:rPr>
        <w:t>nhanced</w:t>
      </w:r>
      <w:r w:rsidR="00DD3C69">
        <w:rPr>
          <w:sz w:val="22"/>
          <w:szCs w:val="22"/>
        </w:rPr>
        <w:t xml:space="preserve"> URLLC/IIoT</w:t>
      </w:r>
    </w:p>
    <w:p w14:paraId="1192B634" w14:textId="224E12B2" w:rsidR="00E90E49" w:rsidRPr="00866C1C" w:rsidRDefault="00E90E49" w:rsidP="00866C1C">
      <w:pPr>
        <w:pStyle w:val="3GPPHeader"/>
        <w:rPr>
          <w:sz w:val="22"/>
          <w:szCs w:val="22"/>
        </w:rPr>
      </w:pPr>
      <w:r w:rsidRPr="00CE0424">
        <w:rPr>
          <w:sz w:val="22"/>
          <w:szCs w:val="22"/>
        </w:rPr>
        <w:t>Document for:</w:t>
      </w:r>
      <w:r w:rsidRPr="00CE0424">
        <w:rPr>
          <w:sz w:val="22"/>
          <w:szCs w:val="22"/>
        </w:rPr>
        <w:tab/>
      </w:r>
      <w:r w:rsidRPr="00DD3C69">
        <w:rPr>
          <w:sz w:val="22"/>
          <w:szCs w:val="22"/>
        </w:rPr>
        <w:t>Discussion, Decision</w:t>
      </w:r>
    </w:p>
    <w:p w14:paraId="4464B4F1" w14:textId="77777777" w:rsidR="00E90E49" w:rsidRPr="00CE0424" w:rsidRDefault="00230D18" w:rsidP="00CE0424">
      <w:pPr>
        <w:pStyle w:val="Heading1"/>
      </w:pPr>
      <w:r>
        <w:t>1</w:t>
      </w:r>
      <w:r>
        <w:tab/>
      </w:r>
      <w:r w:rsidR="00E90E49" w:rsidRPr="00CE0424">
        <w:t>Introduction</w:t>
      </w:r>
    </w:p>
    <w:p w14:paraId="667E6966" w14:textId="437233B5" w:rsidR="00477768" w:rsidRDefault="00B6263D" w:rsidP="00CE0424">
      <w:pPr>
        <w:pStyle w:val="BodyText"/>
      </w:pPr>
      <w:r>
        <w:t xml:space="preserve">For the IIoT/URLLC work item [2], one objective is for RAN1 to study, identify and </w:t>
      </w:r>
      <w:r w:rsidRPr="00B6263D">
        <w:t>specify if needed</w:t>
      </w:r>
      <w:r>
        <w:t xml:space="preserve">, </w:t>
      </w:r>
      <w:r w:rsidRPr="00B6263D">
        <w:t>CSI feedback enhancements to allow for more accurate MCS selection</w:t>
      </w:r>
      <w:r>
        <w:t xml:space="preserve">.  </w:t>
      </w:r>
      <w:r w:rsidR="00C25ACC">
        <w:t xml:space="preserve">Since the start of the work item in RAN1#102e (August 2020), five RAN1 meetings have been spent to study and evaluate candidate CSI enhancement schemes. Only three more RAN1 meetings remain before the expected completion of the work item. </w:t>
      </w:r>
    </w:p>
    <w:p w14:paraId="5D8EC992" w14:textId="66941910" w:rsidR="00C25ACC" w:rsidRPr="00CE0424" w:rsidRDefault="00C25ACC" w:rsidP="00CE0424">
      <w:pPr>
        <w:pStyle w:val="BodyText"/>
      </w:pPr>
      <w:r>
        <w:t>Given the inadequate progress in RAN1 so far, it is imperative that RAN plenary defines the scope of this objective clearly, so that RAN1 can concentrate the</w:t>
      </w:r>
      <w:r w:rsidR="00170188">
        <w:t>ir</w:t>
      </w:r>
      <w:r>
        <w:t xml:space="preserve"> effort in the remaining three meetings for the work item.</w:t>
      </w:r>
    </w:p>
    <w:p w14:paraId="1A9E64D2" w14:textId="00C4BA10" w:rsidR="004000E8" w:rsidRDefault="00230D18" w:rsidP="00CE0424">
      <w:pPr>
        <w:pStyle w:val="Heading1"/>
      </w:pPr>
      <w:bookmarkStart w:id="0" w:name="_Ref178064866"/>
      <w:r>
        <w:t>2</w:t>
      </w:r>
      <w:r>
        <w:tab/>
      </w:r>
      <w:r w:rsidR="004000E8" w:rsidRPr="00CE0424">
        <w:t>Discussion</w:t>
      </w:r>
      <w:bookmarkEnd w:id="0"/>
    </w:p>
    <w:p w14:paraId="1622AAFE" w14:textId="70EB5C27" w:rsidR="00E374A0" w:rsidRDefault="00E374A0" w:rsidP="00543A71">
      <w:pPr>
        <w:pStyle w:val="BodyText"/>
      </w:pPr>
      <w:r>
        <w:t>In RAN#90e, the following conclusion [1] was reached on the scope of the IIoT/URLLC work item:</w:t>
      </w:r>
    </w:p>
    <w:tbl>
      <w:tblPr>
        <w:tblStyle w:val="TableGrid"/>
        <w:tblW w:w="0" w:type="auto"/>
        <w:tblLook w:val="04A0" w:firstRow="1" w:lastRow="0" w:firstColumn="1" w:lastColumn="0" w:noHBand="0" w:noVBand="1"/>
      </w:tblPr>
      <w:tblGrid>
        <w:gridCol w:w="9625"/>
      </w:tblGrid>
      <w:tr w:rsidR="00E374A0" w14:paraId="209916E6" w14:textId="77777777" w:rsidTr="00E374A0">
        <w:tc>
          <w:tcPr>
            <w:tcW w:w="9629" w:type="dxa"/>
          </w:tcPr>
          <w:p w14:paraId="6662E8F6" w14:textId="77777777" w:rsidR="00E374A0" w:rsidRPr="00E374A0" w:rsidRDefault="00E374A0" w:rsidP="00E374A0">
            <w:pPr>
              <w:numPr>
                <w:ilvl w:val="0"/>
                <w:numId w:val="26"/>
              </w:numPr>
              <w:overflowPunct/>
              <w:autoSpaceDE/>
              <w:autoSpaceDN/>
              <w:adjustRightInd/>
              <w:spacing w:after="0" w:line="252" w:lineRule="auto"/>
              <w:ind w:left="780"/>
              <w:textAlignment w:val="auto"/>
              <w:rPr>
                <w:rFonts w:ascii="Calibri" w:eastAsia="DengXian" w:hAnsi="Calibri"/>
                <w:lang w:val="en-US" w:eastAsia="zh-CN"/>
              </w:rPr>
            </w:pPr>
            <w:r w:rsidRPr="00E374A0">
              <w:rPr>
                <w:rFonts w:ascii="Calibri" w:eastAsia="DengXian" w:hAnsi="Calibri"/>
                <w:lang w:val="en-US" w:eastAsia="zh-CN"/>
              </w:rPr>
              <w:t>For handling of the PUCCH repetitions it is proposed to proceed as follows:</w:t>
            </w:r>
          </w:p>
          <w:p w14:paraId="7B901575" w14:textId="77777777" w:rsidR="00E374A0" w:rsidRPr="00E374A0" w:rsidRDefault="00E374A0" w:rsidP="00E374A0">
            <w:pPr>
              <w:numPr>
                <w:ilvl w:val="0"/>
                <w:numId w:val="27"/>
              </w:numPr>
              <w:overflowPunct/>
              <w:autoSpaceDE/>
              <w:autoSpaceDN/>
              <w:adjustRightInd/>
              <w:spacing w:after="0" w:line="252" w:lineRule="auto"/>
              <w:textAlignment w:val="auto"/>
              <w:rPr>
                <w:rFonts w:ascii="Calibri" w:eastAsia="DengXian" w:hAnsi="Calibri"/>
                <w:lang w:val="en-US" w:eastAsia="zh-CN"/>
              </w:rPr>
            </w:pPr>
            <w:r w:rsidRPr="00E374A0">
              <w:rPr>
                <w:rFonts w:ascii="Calibri" w:eastAsia="DengXian" w:hAnsi="Calibri"/>
                <w:lang w:val="en-US" w:eastAsia="zh-CN"/>
              </w:rPr>
              <w:t>RAN1 to continue discussion on PUCCH repetition, whether to specify or not, in the IIoT/URLLC WI for single TRP.</w:t>
            </w:r>
          </w:p>
          <w:p w14:paraId="61942DE7" w14:textId="77777777" w:rsidR="00E374A0" w:rsidRPr="00E374A0" w:rsidRDefault="00E374A0" w:rsidP="00E374A0">
            <w:pPr>
              <w:numPr>
                <w:ilvl w:val="1"/>
                <w:numId w:val="27"/>
              </w:numPr>
              <w:overflowPunct/>
              <w:autoSpaceDE/>
              <w:autoSpaceDN/>
              <w:adjustRightInd/>
              <w:spacing w:after="0" w:line="252" w:lineRule="auto"/>
              <w:textAlignment w:val="auto"/>
              <w:rPr>
                <w:rFonts w:ascii="Calibri" w:eastAsia="DengXian" w:hAnsi="Calibri"/>
                <w:lang w:val="en-US" w:eastAsia="zh-CN"/>
              </w:rPr>
            </w:pPr>
            <w:r w:rsidRPr="00E374A0">
              <w:rPr>
                <w:rFonts w:ascii="Calibri" w:eastAsia="DengXian" w:hAnsi="Calibri"/>
                <w:lang w:val="en-US" w:eastAsia="zh-CN"/>
              </w:rPr>
              <w:t>The following items are not within scope of the continued discussions in the IIoT/URLLC WI:</w:t>
            </w:r>
          </w:p>
          <w:p w14:paraId="0CB1CF43" w14:textId="77777777" w:rsidR="00E374A0" w:rsidRPr="00E374A0" w:rsidRDefault="00E374A0" w:rsidP="00E374A0">
            <w:pPr>
              <w:numPr>
                <w:ilvl w:val="2"/>
                <w:numId w:val="27"/>
              </w:numPr>
              <w:overflowPunct/>
              <w:autoSpaceDE/>
              <w:autoSpaceDN/>
              <w:adjustRightInd/>
              <w:spacing w:after="0" w:line="252" w:lineRule="auto"/>
              <w:textAlignment w:val="auto"/>
              <w:rPr>
                <w:rFonts w:ascii="Calibri" w:hAnsi="Calibri"/>
                <w:lang w:eastAsia="zh-CN"/>
              </w:rPr>
            </w:pPr>
            <w:r w:rsidRPr="00E374A0">
              <w:rPr>
                <w:rFonts w:ascii="Calibri" w:hAnsi="Calibri"/>
                <w:lang w:eastAsia="zh-CN"/>
              </w:rPr>
              <w:t>DMRS-less PUCCH with UCI payload up to 11 bits</w:t>
            </w:r>
          </w:p>
          <w:p w14:paraId="1C68F6BD" w14:textId="77777777" w:rsidR="00E374A0" w:rsidRPr="00E374A0" w:rsidRDefault="00E374A0" w:rsidP="00E374A0">
            <w:pPr>
              <w:numPr>
                <w:ilvl w:val="2"/>
                <w:numId w:val="27"/>
              </w:numPr>
              <w:overflowPunct/>
              <w:autoSpaceDE/>
              <w:autoSpaceDN/>
              <w:adjustRightInd/>
              <w:spacing w:after="0" w:line="252" w:lineRule="auto"/>
              <w:textAlignment w:val="auto"/>
              <w:rPr>
                <w:rFonts w:ascii="Calibri" w:hAnsi="Calibri"/>
                <w:lang w:eastAsia="zh-CN"/>
              </w:rPr>
            </w:pPr>
            <w:r w:rsidRPr="00E374A0">
              <w:rPr>
                <w:rFonts w:ascii="Calibri" w:hAnsi="Calibri"/>
                <w:lang w:eastAsia="zh-CN"/>
              </w:rPr>
              <w:t>PUSCH-repetition-Type-B like PUCCH repetition</w:t>
            </w:r>
          </w:p>
          <w:p w14:paraId="01CE6963" w14:textId="77777777" w:rsidR="00E374A0" w:rsidRPr="00E374A0" w:rsidRDefault="00E374A0" w:rsidP="00E374A0">
            <w:pPr>
              <w:numPr>
                <w:ilvl w:val="2"/>
                <w:numId w:val="27"/>
              </w:numPr>
              <w:overflowPunct/>
              <w:autoSpaceDE/>
              <w:autoSpaceDN/>
              <w:adjustRightInd/>
              <w:spacing w:after="0" w:line="252" w:lineRule="auto"/>
              <w:textAlignment w:val="auto"/>
              <w:rPr>
                <w:rFonts w:ascii="Calibri" w:hAnsi="Calibri"/>
                <w:lang w:eastAsia="zh-CN"/>
              </w:rPr>
            </w:pPr>
            <w:r w:rsidRPr="00E374A0">
              <w:rPr>
                <w:rFonts w:ascii="Calibri" w:hAnsi="Calibri"/>
                <w:lang w:eastAsia="zh-CN"/>
              </w:rPr>
              <w:t>DMRS bundling across PUCCH repetitions</w:t>
            </w:r>
          </w:p>
          <w:p w14:paraId="66AD9B55" w14:textId="77777777" w:rsidR="00E374A0" w:rsidRPr="00E374A0" w:rsidRDefault="00E374A0" w:rsidP="00E374A0">
            <w:pPr>
              <w:numPr>
                <w:ilvl w:val="0"/>
                <w:numId w:val="27"/>
              </w:numPr>
              <w:overflowPunct/>
              <w:autoSpaceDE/>
              <w:autoSpaceDN/>
              <w:adjustRightInd/>
              <w:spacing w:after="0" w:line="252" w:lineRule="auto"/>
              <w:textAlignment w:val="auto"/>
              <w:rPr>
                <w:rFonts w:ascii="Calibri" w:eastAsia="DengXian" w:hAnsi="Calibri"/>
                <w:lang w:val="en-US" w:eastAsia="zh-CN"/>
              </w:rPr>
            </w:pPr>
            <w:r w:rsidRPr="00E374A0">
              <w:rPr>
                <w:rFonts w:ascii="Calibri" w:eastAsia="DengXian" w:hAnsi="Calibri"/>
                <w:lang w:val="en-US" w:eastAsia="zh-CN"/>
              </w:rPr>
              <w:t>PUCCH repetition issues with multi-TRP to be handled in Fe-MIMO WI.</w:t>
            </w:r>
          </w:p>
          <w:p w14:paraId="2D2CF7B4" w14:textId="77777777" w:rsidR="00E374A0" w:rsidRPr="00E374A0" w:rsidRDefault="00E374A0" w:rsidP="00E374A0">
            <w:pPr>
              <w:numPr>
                <w:ilvl w:val="0"/>
                <w:numId w:val="26"/>
              </w:numPr>
              <w:overflowPunct/>
              <w:autoSpaceDE/>
              <w:autoSpaceDN/>
              <w:adjustRightInd/>
              <w:spacing w:after="160" w:line="252" w:lineRule="auto"/>
              <w:ind w:left="780"/>
              <w:textAlignment w:val="auto"/>
              <w:rPr>
                <w:rFonts w:ascii="Calibri" w:eastAsia="DengXian" w:hAnsi="Calibri"/>
                <w:highlight w:val="yellow"/>
                <w:lang w:val="en-US" w:eastAsia="zh-CN"/>
              </w:rPr>
            </w:pPr>
            <w:r w:rsidRPr="00E374A0">
              <w:rPr>
                <w:rFonts w:ascii="Calibri" w:eastAsia="DengXian" w:hAnsi="Calibri"/>
                <w:highlight w:val="yellow"/>
                <w:lang w:val="en-US" w:eastAsia="zh-CN"/>
              </w:rPr>
              <w:t>For the UE CSI/HARQ-ACK feedback enhancements in the IIoT/URLLC WI, RAN1 work to continue the discussions. Status to be checked in March if any RAN level guidance needed.</w:t>
            </w:r>
          </w:p>
          <w:p w14:paraId="20F63698" w14:textId="7C5DD4FD" w:rsidR="00E374A0" w:rsidRPr="00E374A0" w:rsidRDefault="00E374A0" w:rsidP="00E374A0">
            <w:pPr>
              <w:numPr>
                <w:ilvl w:val="1"/>
                <w:numId w:val="26"/>
              </w:numPr>
              <w:overflowPunct/>
              <w:autoSpaceDE/>
              <w:autoSpaceDN/>
              <w:adjustRightInd/>
              <w:spacing w:after="0" w:line="256" w:lineRule="auto"/>
              <w:ind w:left="1500"/>
              <w:textAlignment w:val="auto"/>
              <w:rPr>
                <w:rFonts w:ascii="Calibri" w:hAnsi="Calibri"/>
                <w:lang w:eastAsia="zh-CN"/>
              </w:rPr>
            </w:pPr>
            <w:r w:rsidRPr="00E374A0">
              <w:rPr>
                <w:rFonts w:ascii="Calibri" w:hAnsi="Calibri"/>
                <w:highlight w:val="yellow"/>
                <w:lang w:eastAsia="zh-CN"/>
              </w:rPr>
              <w:t>RAN1 to continue discussion on A-CSI on PUCCH, whether to specify or not.</w:t>
            </w:r>
          </w:p>
        </w:tc>
      </w:tr>
    </w:tbl>
    <w:p w14:paraId="6AF921DA" w14:textId="3F17950A" w:rsidR="00E374A0" w:rsidRDefault="00E374A0" w:rsidP="00E374A0"/>
    <w:p w14:paraId="06BD6A4B" w14:textId="70158B1C" w:rsidR="00E374A0" w:rsidRDefault="00E374A0" w:rsidP="00543A71">
      <w:pPr>
        <w:pStyle w:val="BodyText"/>
      </w:pPr>
      <w:r>
        <w:t>In RAN#91e, the WID of IIoT/URLLC was slightly modified to include the RAN4 demodulation requirements as part of the objectives, while all other objectives</w:t>
      </w:r>
      <w:r w:rsidR="00543A71">
        <w:t xml:space="preserve"> were left</w:t>
      </w:r>
      <w:r>
        <w:t xml:space="preserve"> as is, including the CSI feedback enhancements.</w:t>
      </w:r>
    </w:p>
    <w:tbl>
      <w:tblPr>
        <w:tblStyle w:val="TableGrid"/>
        <w:tblW w:w="0" w:type="auto"/>
        <w:tblLook w:val="04A0" w:firstRow="1" w:lastRow="0" w:firstColumn="1" w:lastColumn="0" w:noHBand="0" w:noVBand="1"/>
      </w:tblPr>
      <w:tblGrid>
        <w:gridCol w:w="9625"/>
      </w:tblGrid>
      <w:tr w:rsidR="00E374A0" w:rsidRPr="00E374A0" w14:paraId="6851AD85" w14:textId="77777777" w:rsidTr="00E374A0">
        <w:tc>
          <w:tcPr>
            <w:tcW w:w="9629" w:type="dxa"/>
          </w:tcPr>
          <w:p w14:paraId="78C815DE" w14:textId="77777777" w:rsidR="00E374A0" w:rsidRPr="00E374A0" w:rsidRDefault="00E374A0" w:rsidP="00E374A0">
            <w:pPr>
              <w:textAlignment w:val="auto"/>
              <w:rPr>
                <w:rFonts w:eastAsia="SimSun"/>
                <w:sz w:val="20"/>
                <w:szCs w:val="20"/>
                <w:lang w:val="en-US" w:eastAsia="fi-FI"/>
              </w:rPr>
            </w:pPr>
            <w:r w:rsidRPr="00E374A0">
              <w:rPr>
                <w:rFonts w:eastAsia="SimSun"/>
                <w:bCs/>
                <w:sz w:val="20"/>
                <w:szCs w:val="20"/>
                <w:lang w:val="en-US" w:eastAsia="en-GB"/>
              </w:rPr>
              <w:t>The detailed objectives of the Work Item are:</w:t>
            </w:r>
          </w:p>
          <w:p w14:paraId="2EFBE03C" w14:textId="77777777" w:rsidR="00E374A0" w:rsidRPr="00E374A0" w:rsidRDefault="00E374A0" w:rsidP="00E374A0">
            <w:pPr>
              <w:numPr>
                <w:ilvl w:val="0"/>
                <w:numId w:val="28"/>
              </w:numPr>
              <w:adjustRightInd/>
              <w:textAlignment w:val="auto"/>
              <w:rPr>
                <w:rFonts w:eastAsia="SimSun"/>
                <w:sz w:val="20"/>
                <w:szCs w:val="20"/>
                <w:lang w:val="en-US" w:eastAsia="fi-FI"/>
              </w:rPr>
            </w:pPr>
            <w:r w:rsidRPr="00E374A0">
              <w:rPr>
                <w:rFonts w:eastAsia="SimSun"/>
                <w:sz w:val="20"/>
                <w:szCs w:val="20"/>
                <w:lang w:val="en-US" w:eastAsia="en-GB"/>
              </w:rPr>
              <w:t xml:space="preserve">Study, identify and specify if needed, required Physical Layer feedback enhancements for meeting URLLC requirements covering </w:t>
            </w:r>
          </w:p>
          <w:p w14:paraId="0FD61792" w14:textId="77777777" w:rsidR="00E374A0" w:rsidRPr="00E374A0" w:rsidRDefault="00E374A0" w:rsidP="00E374A0">
            <w:pPr>
              <w:numPr>
                <w:ilvl w:val="2"/>
                <w:numId w:val="28"/>
              </w:numPr>
              <w:adjustRightInd/>
              <w:textAlignment w:val="auto"/>
              <w:rPr>
                <w:rFonts w:eastAsia="SimSun"/>
                <w:sz w:val="20"/>
                <w:szCs w:val="20"/>
                <w:lang w:val="en-US" w:eastAsia="en-GB"/>
              </w:rPr>
            </w:pPr>
            <w:r w:rsidRPr="00E374A0">
              <w:rPr>
                <w:rFonts w:eastAsia="SimSun"/>
                <w:sz w:val="20"/>
                <w:szCs w:val="20"/>
                <w:lang w:val="en-US" w:eastAsia="en-GB"/>
              </w:rPr>
              <w:t>UE feedback enhancements for HARQ-ACK [RAN1]</w:t>
            </w:r>
          </w:p>
          <w:p w14:paraId="2352F13D" w14:textId="77777777" w:rsidR="00E374A0" w:rsidRPr="00E374A0" w:rsidRDefault="00E374A0" w:rsidP="00E374A0">
            <w:pPr>
              <w:numPr>
                <w:ilvl w:val="2"/>
                <w:numId w:val="28"/>
              </w:numPr>
              <w:adjustRightInd/>
              <w:contextualSpacing/>
              <w:textAlignment w:val="auto"/>
              <w:rPr>
                <w:sz w:val="20"/>
                <w:szCs w:val="20"/>
                <w:highlight w:val="yellow"/>
                <w:lang w:val="en-US" w:eastAsia="en-GB"/>
              </w:rPr>
            </w:pPr>
            <w:bookmarkStart w:id="1" w:name="_Hlk73453084"/>
            <w:r w:rsidRPr="00E374A0">
              <w:rPr>
                <w:sz w:val="20"/>
                <w:szCs w:val="20"/>
                <w:highlight w:val="yellow"/>
                <w:lang w:eastAsia="en-GB"/>
              </w:rPr>
              <w:t>CSI feedback enhancements to allow for more accurate MCS selection</w:t>
            </w:r>
            <w:bookmarkEnd w:id="1"/>
            <w:r w:rsidRPr="00E374A0">
              <w:rPr>
                <w:sz w:val="20"/>
                <w:szCs w:val="20"/>
                <w:highlight w:val="yellow"/>
                <w:lang w:eastAsia="en-GB"/>
              </w:rPr>
              <w:t xml:space="preserve"> [RAN1]</w:t>
            </w:r>
          </w:p>
          <w:p w14:paraId="059CB829" w14:textId="54A52340" w:rsidR="00E374A0" w:rsidRPr="00866C1C" w:rsidRDefault="00E374A0" w:rsidP="00866C1C">
            <w:pPr>
              <w:adjustRightInd/>
              <w:ind w:left="2160"/>
              <w:contextualSpacing/>
              <w:textAlignment w:val="auto"/>
              <w:rPr>
                <w:sz w:val="20"/>
                <w:szCs w:val="20"/>
                <w:lang w:eastAsia="en-GB"/>
              </w:rPr>
            </w:pPr>
            <w:r w:rsidRPr="00E374A0">
              <w:rPr>
                <w:sz w:val="20"/>
                <w:szCs w:val="20"/>
                <w:highlight w:val="yellow"/>
                <w:lang w:eastAsia="en-GB"/>
              </w:rPr>
              <w:t>Note: DMRS-based CSI feedback is not in scope of this WI</w:t>
            </w:r>
            <w:r w:rsidRPr="00E374A0">
              <w:rPr>
                <w:sz w:val="20"/>
                <w:szCs w:val="20"/>
                <w:lang w:eastAsia="en-GB"/>
              </w:rPr>
              <w:t xml:space="preserve"> </w:t>
            </w:r>
          </w:p>
        </w:tc>
      </w:tr>
    </w:tbl>
    <w:p w14:paraId="197AE114" w14:textId="6DB2072A" w:rsidR="00E374A0" w:rsidRDefault="00E374A0" w:rsidP="00E374A0"/>
    <w:p w14:paraId="61C9C779" w14:textId="116B7AA2" w:rsidR="00E374A0" w:rsidRPr="00E374A0" w:rsidRDefault="00E374A0" w:rsidP="00543A71">
      <w:pPr>
        <w:pStyle w:val="BodyText"/>
      </w:pPr>
      <w:r>
        <w:t>Considering the discussion outcome at RAN#90e and RAN#91e, the expectation was that RAN1 was given time to make progress in March/April/May meetings. If RAN1 progress is not satisfactory, then RAN level guidance can be provided</w:t>
      </w:r>
      <w:r w:rsidR="00543A71">
        <w:t xml:space="preserve"> </w:t>
      </w:r>
      <w:proofErr w:type="gramStart"/>
      <w:r w:rsidR="00543A71">
        <w:t>with regard to</w:t>
      </w:r>
      <w:proofErr w:type="gramEnd"/>
      <w:r w:rsidR="00543A71">
        <w:t xml:space="preserve"> the work item scope</w:t>
      </w:r>
      <w:r>
        <w:t>.</w:t>
      </w:r>
    </w:p>
    <w:p w14:paraId="498E7BF1" w14:textId="5718FEAA" w:rsidR="00F63950" w:rsidRDefault="00230D18" w:rsidP="00F63950">
      <w:pPr>
        <w:pStyle w:val="Heading2"/>
      </w:pPr>
      <w:r>
        <w:t>2.1</w:t>
      </w:r>
      <w:r>
        <w:tab/>
      </w:r>
      <w:r w:rsidR="00E76C36">
        <w:t>Status of RAN1 discussion</w:t>
      </w:r>
    </w:p>
    <w:p w14:paraId="74EE9699" w14:textId="0014596E" w:rsidR="00E76C36" w:rsidRDefault="00E76C36" w:rsidP="00E76C36"/>
    <w:p w14:paraId="27B78F87" w14:textId="5785382D" w:rsidR="00E76C36" w:rsidRDefault="00E76C36" w:rsidP="00543A71">
      <w:pPr>
        <w:pStyle w:val="BodyText"/>
      </w:pPr>
      <w:r>
        <w:t xml:space="preserve">In </w:t>
      </w:r>
      <w:r w:rsidR="009A45D7">
        <w:t>RAN1#104e (January 2021)</w:t>
      </w:r>
      <w:r w:rsidR="0038475A">
        <w:t xml:space="preserve">, </w:t>
      </w:r>
      <w:r w:rsidR="003C290B">
        <w:t xml:space="preserve">a conclusion was made to evaluate a total of 17 schemes identified in </w:t>
      </w:r>
      <w:r w:rsidR="003C290B" w:rsidRPr="003C290B">
        <w:t>R1-2102131</w:t>
      </w:r>
      <w:r w:rsidR="003C290B">
        <w:t>, 11 of Case 1 schemes, and 6 of Case 2 schemes. In</w:t>
      </w:r>
      <w:r w:rsidR="009A45D7">
        <w:t xml:space="preserve"> </w:t>
      </w:r>
      <w:r>
        <w:t>RAN1#104bis</w:t>
      </w:r>
      <w:r w:rsidR="009A45D7">
        <w:t xml:space="preserve">-e (April 2021) </w:t>
      </w:r>
      <w:r w:rsidR="003C290B">
        <w:t xml:space="preserve">and RAN1#105 (May 2021) </w:t>
      </w:r>
      <w:r w:rsidR="009A45D7">
        <w:t>meetings</w:t>
      </w:r>
      <w:r>
        <w:t>,</w:t>
      </w:r>
      <w:r w:rsidR="009A45D7">
        <w:t xml:space="preserve"> RAN1 worked hard to evaluate candidate schemes from </w:t>
      </w:r>
      <w:r w:rsidR="0069533E">
        <w:t>numerous</w:t>
      </w:r>
      <w:r w:rsidR="009A45D7">
        <w:t xml:space="preserve"> angles and str</w:t>
      </w:r>
      <w:r w:rsidR="003C290B">
        <w:t>o</w:t>
      </w:r>
      <w:r w:rsidR="009A45D7">
        <w:t xml:space="preserve">ve </w:t>
      </w:r>
      <w:r w:rsidR="003C290B">
        <w:t>for</w:t>
      </w:r>
      <w:r w:rsidR="009A45D7">
        <w:t xml:space="preserve"> down-select</w:t>
      </w:r>
      <w:r w:rsidR="003C290B">
        <w:t>ion</w:t>
      </w:r>
      <w:r w:rsidR="009A45D7">
        <w:t xml:space="preserve">. In RAN1#104bis-e, the </w:t>
      </w:r>
      <w:r w:rsidR="0069533E">
        <w:t xml:space="preserve">set of </w:t>
      </w:r>
      <w:r w:rsidR="009A45D7">
        <w:t>Case 2 schemes were quickly filtered down to one scheme: Case 2-3 (delta-CQI/MCS), while 6 schemes remain under Case 1, see Appendix.</w:t>
      </w:r>
    </w:p>
    <w:p w14:paraId="0216619B" w14:textId="0D90D091" w:rsidR="009A45D7" w:rsidRDefault="009A45D7" w:rsidP="00543A71">
      <w:pPr>
        <w:pStyle w:val="BodyText"/>
      </w:pPr>
      <w:r>
        <w:t>In RAN1#105e (May 2021), the final proposal shown below was presented, but no agreements could be made due to lack of unanimous support.</w:t>
      </w:r>
    </w:p>
    <w:p w14:paraId="079E0340" w14:textId="77777777" w:rsidR="009A45D7" w:rsidRDefault="009A45D7" w:rsidP="00E76C36"/>
    <w:tbl>
      <w:tblPr>
        <w:tblStyle w:val="TableGrid"/>
        <w:tblW w:w="0" w:type="auto"/>
        <w:tblLook w:val="04A0" w:firstRow="1" w:lastRow="0" w:firstColumn="1" w:lastColumn="0" w:noHBand="0" w:noVBand="1"/>
      </w:tblPr>
      <w:tblGrid>
        <w:gridCol w:w="9625"/>
      </w:tblGrid>
      <w:tr w:rsidR="00E76C36" w14:paraId="48166FC6" w14:textId="77777777" w:rsidTr="00E76C36">
        <w:tc>
          <w:tcPr>
            <w:tcW w:w="9629" w:type="dxa"/>
          </w:tcPr>
          <w:p w14:paraId="1FA176C1" w14:textId="77777777" w:rsidR="00E76C36" w:rsidRPr="00E76C36" w:rsidRDefault="00E76C36" w:rsidP="00E76C36">
            <w:pPr>
              <w:overflowPunct/>
              <w:autoSpaceDE/>
              <w:autoSpaceDN/>
              <w:adjustRightInd/>
              <w:spacing w:after="0"/>
              <w:textAlignment w:val="auto"/>
              <w:rPr>
                <w:rFonts w:eastAsia="Batang"/>
                <w:lang w:val="en-US" w:eastAsia="en-US"/>
              </w:rPr>
            </w:pPr>
            <w:bookmarkStart w:id="2" w:name="_Hlk72993375"/>
            <w:r w:rsidRPr="00E76C36">
              <w:rPr>
                <w:rFonts w:eastAsia="Batang"/>
                <w:szCs w:val="24"/>
                <w:lang w:eastAsia="en-US"/>
              </w:rPr>
              <w:t>Proposal:</w:t>
            </w:r>
          </w:p>
          <w:p w14:paraId="10559D5D" w14:textId="77777777" w:rsidR="00E76C36" w:rsidRPr="00E76C36" w:rsidRDefault="00E76C36" w:rsidP="00E76C36">
            <w:pPr>
              <w:overflowPunct/>
              <w:autoSpaceDE/>
              <w:autoSpaceDN/>
              <w:adjustRightInd/>
              <w:spacing w:after="0"/>
              <w:textAlignment w:val="auto"/>
              <w:rPr>
                <w:rFonts w:eastAsia="Batang"/>
                <w:szCs w:val="24"/>
                <w:lang w:eastAsia="en-US"/>
              </w:rPr>
            </w:pPr>
            <w:r w:rsidRPr="00E76C36">
              <w:rPr>
                <w:rFonts w:eastAsia="Batang"/>
                <w:szCs w:val="24"/>
                <w:lang w:eastAsia="en-US"/>
              </w:rPr>
              <w:t>RAN1 to further investigate the following for CSI enhancements for IIoT/URLLC:</w:t>
            </w:r>
          </w:p>
          <w:p w14:paraId="3F82A4B2" w14:textId="77777777" w:rsidR="00E76C36" w:rsidRPr="00E76C36" w:rsidRDefault="00E76C36" w:rsidP="00E76C36">
            <w:pPr>
              <w:numPr>
                <w:ilvl w:val="0"/>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Increasing granularity of subband CQI (3-bits differential subband CQI or 4-bits CQI)</w:t>
            </w:r>
          </w:p>
          <w:p w14:paraId="11F50514" w14:textId="77777777" w:rsidR="00E76C36" w:rsidRPr="00E76C36" w:rsidRDefault="00E76C36" w:rsidP="00E76C36">
            <w:pPr>
              <w:numPr>
                <w:ilvl w:val="0"/>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Reporting of delta-MCS:</w:t>
            </w:r>
          </w:p>
          <w:p w14:paraId="7FD07D85" w14:textId="77777777" w:rsidR="00E76C36" w:rsidRPr="00E76C36" w:rsidRDefault="00E76C36" w:rsidP="00E76C36">
            <w:pPr>
              <w:numPr>
                <w:ilvl w:val="1"/>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Report consists of delta-MCS for a TB received with MCS index I</w:t>
            </w:r>
            <w:r w:rsidRPr="00E76C36">
              <w:rPr>
                <w:rFonts w:eastAsia="Batang"/>
                <w:szCs w:val="24"/>
                <w:vertAlign w:val="subscript"/>
                <w:lang w:eastAsia="x-none"/>
              </w:rPr>
              <w:t>MCS</w:t>
            </w:r>
            <w:r w:rsidRPr="00E76C36">
              <w:rPr>
                <w:rFonts w:eastAsia="Batang"/>
                <w:szCs w:val="24"/>
                <w:lang w:eastAsia="x-none"/>
              </w:rPr>
              <w:t>:</w:t>
            </w:r>
          </w:p>
          <w:p w14:paraId="7C6C4C6D" w14:textId="77777777" w:rsidR="00E76C36" w:rsidRPr="00E76C36" w:rsidRDefault="00E76C36" w:rsidP="00E76C36">
            <w:pPr>
              <w:numPr>
                <w:ilvl w:val="2"/>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delta-MCS is calculated from the difference between I</w:t>
            </w:r>
            <w:r w:rsidRPr="00E76C36">
              <w:rPr>
                <w:rFonts w:eastAsia="Batang"/>
                <w:szCs w:val="24"/>
                <w:vertAlign w:val="subscript"/>
                <w:lang w:eastAsia="x-none"/>
              </w:rPr>
              <w:t>MCS_tgt</w:t>
            </w:r>
            <w:r w:rsidRPr="00E76C36">
              <w:rPr>
                <w:rFonts w:eastAsia="Batang"/>
                <w:szCs w:val="24"/>
                <w:lang w:eastAsia="x-none"/>
              </w:rPr>
              <w:t xml:space="preserve"> and I</w:t>
            </w:r>
            <w:r w:rsidRPr="00E76C36">
              <w:rPr>
                <w:rFonts w:eastAsia="Batang"/>
                <w:szCs w:val="24"/>
                <w:vertAlign w:val="subscript"/>
                <w:lang w:eastAsia="x-none"/>
              </w:rPr>
              <w:t>MCS</w:t>
            </w:r>
            <w:r w:rsidRPr="00E76C36">
              <w:rPr>
                <w:rFonts w:eastAsia="Batang"/>
                <w:szCs w:val="24"/>
                <w:lang w:eastAsia="x-none"/>
              </w:rPr>
              <w:t>, where I</w:t>
            </w:r>
            <w:r w:rsidRPr="00E76C36">
              <w:rPr>
                <w:rFonts w:eastAsia="Batang"/>
                <w:szCs w:val="24"/>
                <w:vertAlign w:val="subscript"/>
                <w:lang w:eastAsia="x-none"/>
              </w:rPr>
              <w:t>MCS_tgt</w:t>
            </w:r>
            <w:r w:rsidRPr="00E76C36">
              <w:rPr>
                <w:rFonts w:eastAsia="Batang"/>
                <w:szCs w:val="24"/>
                <w:lang w:eastAsia="x-none"/>
              </w:rPr>
              <w:t xml:space="preserve"> is largest MCS index such that estimated BLER of </w:t>
            </w:r>
            <w:r w:rsidRPr="00E76C36">
              <w:rPr>
                <w:rFonts w:eastAsia="Batang"/>
                <w:strike/>
                <w:szCs w:val="24"/>
                <w:lang w:eastAsia="x-none"/>
              </w:rPr>
              <w:t>the</w:t>
            </w:r>
            <w:r w:rsidRPr="00E76C36">
              <w:rPr>
                <w:rFonts w:eastAsia="Batang"/>
                <w:szCs w:val="24"/>
                <w:lang w:eastAsia="x-none"/>
              </w:rPr>
              <w:t xml:space="preserve"> for a TB received with this MCS index would be smaller than or equal to a BLER target, and I</w:t>
            </w:r>
            <w:r w:rsidRPr="00E76C36">
              <w:rPr>
                <w:rFonts w:eastAsia="Batang"/>
                <w:szCs w:val="24"/>
                <w:vertAlign w:val="subscript"/>
                <w:lang w:eastAsia="x-none"/>
              </w:rPr>
              <w:t>MCS</w:t>
            </w:r>
            <w:r w:rsidRPr="00E76C36">
              <w:rPr>
                <w:rFonts w:eastAsia="Batang"/>
                <w:szCs w:val="24"/>
                <w:lang w:eastAsia="x-none"/>
              </w:rPr>
              <w:t xml:space="preserve"> is the MCS index of the received TB.</w:t>
            </w:r>
          </w:p>
          <w:p w14:paraId="61BCEE34" w14:textId="77777777" w:rsidR="00E76C36" w:rsidRPr="00E76C36" w:rsidRDefault="00E76C36" w:rsidP="00E76C36">
            <w:pPr>
              <w:numPr>
                <w:ilvl w:val="2"/>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Estimated BLER for a TB is the largest error probability estimate of a code block within a TB.</w:t>
            </w:r>
          </w:p>
          <w:p w14:paraId="280B1D6E" w14:textId="77777777" w:rsidR="00E76C36" w:rsidRPr="00E76C36" w:rsidRDefault="00E76C36" w:rsidP="00E76C36">
            <w:pPr>
              <w:numPr>
                <w:ilvl w:val="2"/>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whether to apply additional offset to delta-MCS (i.e. delta-MCS = I</w:t>
            </w:r>
            <w:r w:rsidRPr="00E76C36">
              <w:rPr>
                <w:rFonts w:eastAsia="Batang"/>
                <w:szCs w:val="24"/>
                <w:vertAlign w:val="subscript"/>
                <w:lang w:eastAsia="x-none"/>
              </w:rPr>
              <w:t>MCS_tgt</w:t>
            </w:r>
            <w:r w:rsidRPr="00E76C36">
              <w:rPr>
                <w:rFonts w:eastAsia="Batang"/>
                <w:szCs w:val="24"/>
                <w:lang w:eastAsia="x-none"/>
              </w:rPr>
              <w:t xml:space="preserve"> – I</w:t>
            </w:r>
            <w:r w:rsidRPr="00E76C36">
              <w:rPr>
                <w:rFonts w:eastAsia="Batang"/>
                <w:szCs w:val="24"/>
                <w:vertAlign w:val="subscript"/>
                <w:lang w:eastAsia="x-none"/>
              </w:rPr>
              <w:t>MCS</w:t>
            </w:r>
            <w:r w:rsidRPr="00E76C36">
              <w:rPr>
                <w:rFonts w:eastAsia="Batang"/>
                <w:szCs w:val="24"/>
                <w:lang w:eastAsia="x-none"/>
              </w:rPr>
              <w:t xml:space="preserve"> - offset)</w:t>
            </w:r>
          </w:p>
          <w:p w14:paraId="4D74C4F3" w14:textId="77777777" w:rsidR="00E76C36" w:rsidRPr="00E76C36" w:rsidRDefault="00E76C36" w:rsidP="00E76C36">
            <w:pPr>
              <w:numPr>
                <w:ilvl w:val="2"/>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whether TB size for determining I</w:t>
            </w:r>
            <w:r w:rsidRPr="00E76C36">
              <w:rPr>
                <w:rFonts w:eastAsia="Batang"/>
                <w:szCs w:val="24"/>
                <w:vertAlign w:val="subscript"/>
                <w:lang w:eastAsia="x-none"/>
              </w:rPr>
              <w:t>MCS_tgt</w:t>
            </w:r>
            <w:r w:rsidRPr="00E76C36">
              <w:rPr>
                <w:rFonts w:eastAsia="Batang"/>
                <w:szCs w:val="24"/>
                <w:lang w:eastAsia="x-none"/>
              </w:rPr>
              <w:t xml:space="preserve"> is TB size of received TB or other TB size</w:t>
            </w:r>
          </w:p>
          <w:p w14:paraId="13B47CC4" w14:textId="77777777" w:rsidR="00E76C36" w:rsidRPr="00E76C36" w:rsidRDefault="00E76C36" w:rsidP="00E76C36">
            <w:pPr>
              <w:numPr>
                <w:ilvl w:val="2"/>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 xml:space="preserve">FFS: How UE determines BLER target </w:t>
            </w:r>
            <w:r w:rsidRPr="00E76C36">
              <w:rPr>
                <w:rFonts w:eastAsia="Batang"/>
                <w:strike/>
                <w:szCs w:val="24"/>
                <w:lang w:eastAsia="x-none"/>
              </w:rPr>
              <w:t>(e.g. explicitly indicated by network or linked to a CQI table)</w:t>
            </w:r>
          </w:p>
          <w:p w14:paraId="0E23208E" w14:textId="77777777" w:rsidR="00E76C36" w:rsidRPr="00E76C36" w:rsidRDefault="00E76C36" w:rsidP="00E76C36">
            <w:pPr>
              <w:numPr>
                <w:ilvl w:val="1"/>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Number of bits and quantization for delta-MCS report</w:t>
            </w:r>
          </w:p>
          <w:p w14:paraId="74A4A7A6" w14:textId="77777777" w:rsidR="00E76C36" w:rsidRPr="00E76C36" w:rsidRDefault="00E76C36" w:rsidP="00E76C36">
            <w:pPr>
              <w:numPr>
                <w:ilvl w:val="1"/>
                <w:numId w:val="23"/>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whether delta-MCS is reported (Option 1) jointly with HARQ-ACK codebook or (Option 2) separately from HARQ-ACK codebook.</w:t>
            </w:r>
            <w:bookmarkEnd w:id="2"/>
          </w:p>
          <w:p w14:paraId="6BC070C1" w14:textId="77777777" w:rsidR="00E76C36" w:rsidRPr="00E76C36" w:rsidRDefault="00E76C36" w:rsidP="00E76C36">
            <w:pPr>
              <w:overflowPunct/>
              <w:autoSpaceDE/>
              <w:autoSpaceDN/>
              <w:adjustRightInd/>
              <w:spacing w:after="0"/>
              <w:textAlignment w:val="auto"/>
              <w:rPr>
                <w:rFonts w:ascii="Calibri" w:eastAsia="Batang" w:hAnsi="Calibri" w:cs="Calibri"/>
                <w:szCs w:val="24"/>
                <w:lang w:eastAsia="en-US"/>
              </w:rPr>
            </w:pPr>
            <w:r w:rsidRPr="00E76C36">
              <w:rPr>
                <w:rFonts w:ascii="Calibri" w:eastAsia="Batang" w:hAnsi="Calibri" w:cs="Calibri"/>
                <w:szCs w:val="24"/>
                <w:lang w:eastAsia="en-US"/>
              </w:rPr>
              <w:t>Supported by: SONY, MediaTek, OPPO, Spreadtrum, HiSilicon, CATT, InterDigital, Ericsson, Quectel, DoCoMo, Samsung, Motorola Mobility, LG, ZTE, vivo, Fujitsu, Qualcomm</w:t>
            </w:r>
          </w:p>
          <w:p w14:paraId="151E57AE" w14:textId="7C7F48A2" w:rsidR="00E76C36" w:rsidRPr="00E76C36" w:rsidRDefault="00E76C36" w:rsidP="00E76C36">
            <w:pPr>
              <w:overflowPunct/>
              <w:autoSpaceDE/>
              <w:autoSpaceDN/>
              <w:adjustRightInd/>
              <w:spacing w:after="0"/>
              <w:textAlignment w:val="auto"/>
              <w:rPr>
                <w:rFonts w:ascii="Calibri" w:eastAsia="Batang" w:hAnsi="Calibri" w:cs="Calibri"/>
                <w:szCs w:val="24"/>
                <w:lang w:eastAsia="en-US"/>
              </w:rPr>
            </w:pPr>
            <w:r w:rsidRPr="00E76C36">
              <w:rPr>
                <w:rFonts w:ascii="Calibri" w:eastAsia="Batang" w:hAnsi="Calibri" w:cs="Calibri"/>
                <w:szCs w:val="24"/>
                <w:lang w:eastAsia="en-US"/>
              </w:rPr>
              <w:t>Objected by: Nokia, Futurewei</w:t>
            </w:r>
          </w:p>
        </w:tc>
      </w:tr>
    </w:tbl>
    <w:p w14:paraId="647C48D8" w14:textId="0CE2CE8B" w:rsidR="00E76C36" w:rsidRDefault="00E76C36" w:rsidP="00E76C36"/>
    <w:p w14:paraId="741A7160" w14:textId="77777777" w:rsidR="00543A71" w:rsidRDefault="00543A71" w:rsidP="00E76C36"/>
    <w:p w14:paraId="4C9F0DD7" w14:textId="08F393F1" w:rsidR="00543A71" w:rsidRPr="00CE0424" w:rsidRDefault="00543A71" w:rsidP="00543A71">
      <w:pPr>
        <w:pStyle w:val="Observation"/>
      </w:pPr>
      <w:bookmarkStart w:id="3" w:name="_Toc347823812"/>
      <w:bookmarkStart w:id="4" w:name="_Toc347823993"/>
      <w:bookmarkStart w:id="5" w:name="_Toc347824244"/>
      <w:bookmarkStart w:id="6" w:name="_Toc73614549"/>
      <w:r>
        <w:t xml:space="preserve">After investigation of CSI enhancement schemes in </w:t>
      </w:r>
      <w:r w:rsidR="00C25ACC">
        <w:t>five</w:t>
      </w:r>
      <w:r>
        <w:t xml:space="preserve"> RAN1 meetings, no convergence is achieved for Case1 schemes</w:t>
      </w:r>
      <w:r w:rsidR="00C25ACC">
        <w:t>.</w:t>
      </w:r>
      <w:r>
        <w:t xml:space="preserve"> Case 2 schemes have converged to </w:t>
      </w:r>
      <w:r w:rsidR="00C25ACC">
        <w:t xml:space="preserve">a single scheme </w:t>
      </w:r>
      <w:r>
        <w:t xml:space="preserve">Case 2-3 </w:t>
      </w:r>
      <w:r w:rsidR="00C25ACC">
        <w:t>in RAN1#104e</w:t>
      </w:r>
      <w:r>
        <w:t>.</w:t>
      </w:r>
      <w:bookmarkEnd w:id="3"/>
      <w:bookmarkEnd w:id="4"/>
      <w:bookmarkEnd w:id="5"/>
      <w:bookmarkEnd w:id="6"/>
    </w:p>
    <w:p w14:paraId="6C88868F" w14:textId="77777777" w:rsidR="00543A71" w:rsidRDefault="00543A71" w:rsidP="00E76C36"/>
    <w:p w14:paraId="22510510" w14:textId="67162001" w:rsidR="009A45D7" w:rsidRDefault="009A45D7" w:rsidP="00543A71">
      <w:pPr>
        <w:pStyle w:val="BodyText"/>
      </w:pPr>
      <w:r>
        <w:t>In our view, RAN1 has done as much as possible to study the candidate schemes. It is futile to continue the discussion and repeat the</w:t>
      </w:r>
      <w:r w:rsidR="003C290B">
        <w:t xml:space="preserve"> same</w:t>
      </w:r>
      <w:r>
        <w:t xml:space="preserve"> arguments in RAN1. Guidance from RAN is needed to give focus to the work item</w:t>
      </w:r>
      <w:r w:rsidR="007341A8">
        <w:t>, considering that only three RAN1 meetings are left before the target completion of the work item (RAN1 aspects) at RAN#94.</w:t>
      </w:r>
      <w:r w:rsidR="00B62A28">
        <w:t xml:space="preserve"> </w:t>
      </w:r>
      <w:r w:rsidR="006E4CF3">
        <w:t xml:space="preserve">More precisely, we observe the following as </w:t>
      </w:r>
      <w:r w:rsidR="00240964">
        <w:t>only possible way forwards.</w:t>
      </w:r>
    </w:p>
    <w:p w14:paraId="033CD786" w14:textId="77777777" w:rsidR="00240964" w:rsidRDefault="00240964" w:rsidP="00543A71">
      <w:pPr>
        <w:pStyle w:val="BodyText"/>
      </w:pPr>
    </w:p>
    <w:p w14:paraId="2A39F674" w14:textId="56D6A320" w:rsidR="007341A8" w:rsidRDefault="007341A8" w:rsidP="00240964">
      <w:pPr>
        <w:pStyle w:val="Observation"/>
      </w:pPr>
      <w:bookmarkStart w:id="7" w:name="_Toc73614550"/>
      <w:r>
        <w:lastRenderedPageBreak/>
        <w:t>There are three options for discussion at RAN</w:t>
      </w:r>
      <w:r w:rsidR="00543A71">
        <w:t xml:space="preserve"> level</w:t>
      </w:r>
      <w:r>
        <w:t>:</w:t>
      </w:r>
      <w:bookmarkEnd w:id="7"/>
    </w:p>
    <w:p w14:paraId="79B1CA6D" w14:textId="19635458" w:rsidR="004F3550" w:rsidRPr="00320D34" w:rsidRDefault="004F3550" w:rsidP="0087360B">
      <w:pPr>
        <w:pStyle w:val="Observation"/>
        <w:numPr>
          <w:ilvl w:val="1"/>
          <w:numId w:val="13"/>
        </w:numPr>
        <w:rPr>
          <w:lang w:val="en-US"/>
        </w:rPr>
      </w:pPr>
      <w:bookmarkStart w:id="8" w:name="_Toc73614551"/>
      <w:r>
        <w:rPr>
          <w:lang w:val="en-US"/>
        </w:rPr>
        <w:t xml:space="preserve">Option 1: </w:t>
      </w:r>
      <w:r w:rsidR="007341A8">
        <w:rPr>
          <w:lang w:val="en-US"/>
        </w:rPr>
        <w:t>Endorse the proposal presented at RAN1#105e</w:t>
      </w:r>
      <w:r w:rsidR="00320D34">
        <w:rPr>
          <w:lang w:val="en-US"/>
        </w:rPr>
        <w:t>. Thus</w:t>
      </w:r>
      <w:r>
        <w:rPr>
          <w:lang w:val="en-US"/>
        </w:rPr>
        <w:t>,</w:t>
      </w:r>
      <w:r w:rsidR="00320D34">
        <w:rPr>
          <w:lang w:val="en-US"/>
        </w:rPr>
        <w:t xml:space="preserve"> RAN1 continue to study, and specify if needed, two schemes (one of Case 1, one of Case 2) for Rel-17.</w:t>
      </w:r>
      <w:bookmarkEnd w:id="8"/>
    </w:p>
    <w:p w14:paraId="2CD52665" w14:textId="77777777" w:rsidR="004F3550" w:rsidRPr="0087360B" w:rsidRDefault="004F3550" w:rsidP="004F3550">
      <w:pPr>
        <w:pStyle w:val="Observation"/>
        <w:numPr>
          <w:ilvl w:val="1"/>
          <w:numId w:val="13"/>
        </w:numPr>
      </w:pPr>
      <w:bookmarkStart w:id="9" w:name="_Toc73614552"/>
      <w:r>
        <w:rPr>
          <w:lang w:val="en-US"/>
        </w:rPr>
        <w:t>Option 2: Endorse the converged Case 2 scheme, Case 2-3 (delta-CQI/MCS), for Rel-17. See the agreement at RAN1#104bis. Exclude all Case 1 schemes from the scope of the WID.</w:t>
      </w:r>
      <w:bookmarkEnd w:id="9"/>
    </w:p>
    <w:p w14:paraId="55CA327B" w14:textId="59B917DC" w:rsidR="004F3550" w:rsidRPr="00320D34" w:rsidRDefault="004F3550" w:rsidP="0087360B">
      <w:pPr>
        <w:pStyle w:val="Observation"/>
        <w:numPr>
          <w:ilvl w:val="1"/>
          <w:numId w:val="13"/>
        </w:numPr>
      </w:pPr>
      <w:bookmarkStart w:id="10" w:name="_Toc73614553"/>
      <w:r w:rsidRPr="004F3550">
        <w:rPr>
          <w:lang w:val="en-US"/>
        </w:rPr>
        <w:t>Option 3: Conclude that: lack of progress in RAN1 study indicates that CSI feedback enhancement does not need to be specified in Rel-17.</w:t>
      </w:r>
      <w:bookmarkEnd w:id="10"/>
    </w:p>
    <w:p w14:paraId="7516EE73" w14:textId="7CBBEE5B" w:rsidR="00320D34" w:rsidRDefault="00320D34" w:rsidP="00320D34"/>
    <w:p w14:paraId="41F77E44" w14:textId="4CECD72A" w:rsidR="00E76C36" w:rsidRPr="00E76C36" w:rsidRDefault="00543A71" w:rsidP="00543A71">
      <w:pPr>
        <w:pStyle w:val="BodyText"/>
      </w:pPr>
      <w:r>
        <w:t>In our view, one option should be selected from the above so that RAN1 can focus the effort and complete the work item in time.</w:t>
      </w:r>
      <w:r w:rsidR="00765B1D">
        <w:t xml:space="preserve"> It is noted also that it is necessary to make a decision on CSI enhancement in Rel-17, since this may affect the Rel-18 discussion </w:t>
      </w:r>
      <w:r w:rsidR="001C71DD">
        <w:fldChar w:fldCharType="begin"/>
      </w:r>
      <w:r w:rsidR="001C71DD">
        <w:instrText xml:space="preserve"> REF _Ref73722544 \n \h </w:instrText>
      </w:r>
      <w:r w:rsidR="001C71DD">
        <w:fldChar w:fldCharType="separate"/>
      </w:r>
      <w:r w:rsidR="001C71DD">
        <w:t>[4]</w:t>
      </w:r>
      <w:r w:rsidR="001C71DD">
        <w:fldChar w:fldCharType="end"/>
      </w:r>
      <w:r w:rsidR="00765B1D">
        <w:t>.</w:t>
      </w:r>
    </w:p>
    <w:p w14:paraId="7A35BA78" w14:textId="50AF96FB" w:rsidR="0027144F" w:rsidRPr="00CE0424" w:rsidRDefault="00320D34" w:rsidP="00CE0424">
      <w:pPr>
        <w:pStyle w:val="BodyText"/>
      </w:pPr>
      <w:r>
        <w:t>Based on the discussion above, we propose the following.</w:t>
      </w:r>
    </w:p>
    <w:p w14:paraId="7F6B0CB6" w14:textId="77777777" w:rsidR="00517D69" w:rsidRPr="00CE0424" w:rsidRDefault="00517D69" w:rsidP="00517D69">
      <w:pPr>
        <w:pStyle w:val="BodyText"/>
      </w:pPr>
    </w:p>
    <w:p w14:paraId="48D39941" w14:textId="77777777" w:rsidR="00287838" w:rsidRPr="00A04F49" w:rsidRDefault="00320D34" w:rsidP="00A04F49">
      <w:pPr>
        <w:pStyle w:val="Proposal"/>
      </w:pPr>
      <w:bookmarkStart w:id="11" w:name="_Toc347823621"/>
      <w:bookmarkStart w:id="12" w:name="_Toc347824073"/>
      <w:bookmarkStart w:id="13" w:name="_Toc347824246"/>
      <w:bookmarkStart w:id="14" w:name="_Toc73614554"/>
      <w:r>
        <w:t>RAN</w:t>
      </w:r>
      <w:r w:rsidR="00E57A59">
        <w:t>#92e</w:t>
      </w:r>
      <w:r>
        <w:t xml:space="preserve"> provides clear guidance to RAN1 work on CSI enhancement</w:t>
      </w:r>
      <w:r w:rsidR="00503769">
        <w:t xml:space="preserve"> for the remaining three RAN1 meetings</w:t>
      </w:r>
      <w:r w:rsidR="00CC2011" w:rsidRPr="00A04F49">
        <w:t>.</w:t>
      </w:r>
      <w:bookmarkEnd w:id="11"/>
      <w:bookmarkEnd w:id="12"/>
      <w:bookmarkEnd w:id="13"/>
      <w:r>
        <w:t xml:space="preserve"> Modify the </w:t>
      </w:r>
      <w:r w:rsidR="00E57A59">
        <w:t xml:space="preserve">IIoT/URLLC </w:t>
      </w:r>
      <w:r>
        <w:t xml:space="preserve">WID </w:t>
      </w:r>
      <w:r w:rsidR="00543A71">
        <w:t>as necessary.</w:t>
      </w:r>
      <w:bookmarkEnd w:id="14"/>
    </w:p>
    <w:p w14:paraId="7389B923" w14:textId="6EA65D2F" w:rsidR="00517D69" w:rsidRPr="00CE0424" w:rsidRDefault="00517D69" w:rsidP="00517D69">
      <w:pPr>
        <w:pStyle w:val="BodyText"/>
      </w:pPr>
    </w:p>
    <w:p w14:paraId="78D4789E" w14:textId="77777777" w:rsidR="00C01F33" w:rsidRPr="00CE0424" w:rsidRDefault="00C01F33" w:rsidP="00CE0424">
      <w:pPr>
        <w:pStyle w:val="Heading1"/>
      </w:pPr>
      <w:r w:rsidRPr="00CE0424">
        <w:t>Conclusion</w:t>
      </w:r>
    </w:p>
    <w:p w14:paraId="0A2438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699FB4" w14:textId="77777777" w:rsidR="0024529A" w:rsidRDefault="006F6582">
      <w:pPr>
        <w:pStyle w:val="TableofFigures"/>
        <w:tabs>
          <w:tab w:val="right" w:leader="dot" w:pos="9625"/>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3614549" w:history="1">
        <w:r w:rsidR="0024529A" w:rsidRPr="00C93132">
          <w:rPr>
            <w:rStyle w:val="Hyperlink"/>
            <w:noProof/>
          </w:rPr>
          <w:t>Observation 1</w:t>
        </w:r>
        <w:r w:rsidR="0024529A">
          <w:rPr>
            <w:rFonts w:asciiTheme="minorHAnsi" w:eastAsiaTheme="minorEastAsia" w:hAnsiTheme="minorHAnsi" w:cstheme="minorBidi"/>
            <w:b w:val="0"/>
            <w:noProof/>
            <w:sz w:val="22"/>
            <w:szCs w:val="22"/>
            <w:lang w:val="sv-SE" w:eastAsia="sv-SE"/>
          </w:rPr>
          <w:tab/>
        </w:r>
        <w:r w:rsidR="0024529A" w:rsidRPr="00C93132">
          <w:rPr>
            <w:rStyle w:val="Hyperlink"/>
            <w:noProof/>
          </w:rPr>
          <w:t>After investigation of CSI enhancement schemes in five RAN1 meetings, no convergence is achieved for Case1 schemes. Case 2 schemes have converged to a single scheme Case 2-3 in RAN1#104e.</w:t>
        </w:r>
      </w:hyperlink>
    </w:p>
    <w:p w14:paraId="342072B7" w14:textId="77777777" w:rsidR="0024529A" w:rsidRDefault="00A21BBC">
      <w:pPr>
        <w:pStyle w:val="TableofFigures"/>
        <w:tabs>
          <w:tab w:val="right" w:leader="dot" w:pos="9625"/>
        </w:tabs>
        <w:rPr>
          <w:rFonts w:asciiTheme="minorHAnsi" w:eastAsiaTheme="minorEastAsia" w:hAnsiTheme="minorHAnsi" w:cstheme="minorBidi"/>
          <w:b w:val="0"/>
          <w:noProof/>
          <w:sz w:val="22"/>
          <w:szCs w:val="22"/>
          <w:lang w:val="sv-SE" w:eastAsia="sv-SE"/>
        </w:rPr>
      </w:pPr>
      <w:hyperlink w:anchor="_Toc73614550" w:history="1">
        <w:r w:rsidR="0024529A" w:rsidRPr="00C93132">
          <w:rPr>
            <w:rStyle w:val="Hyperlink"/>
            <w:noProof/>
          </w:rPr>
          <w:t>Observation 2</w:t>
        </w:r>
        <w:r w:rsidR="0024529A">
          <w:rPr>
            <w:rFonts w:asciiTheme="minorHAnsi" w:eastAsiaTheme="minorEastAsia" w:hAnsiTheme="minorHAnsi" w:cstheme="minorBidi"/>
            <w:b w:val="0"/>
            <w:noProof/>
            <w:sz w:val="22"/>
            <w:szCs w:val="22"/>
            <w:lang w:val="sv-SE" w:eastAsia="sv-SE"/>
          </w:rPr>
          <w:tab/>
        </w:r>
        <w:r w:rsidR="0024529A" w:rsidRPr="00C93132">
          <w:rPr>
            <w:rStyle w:val="Hyperlink"/>
            <w:noProof/>
          </w:rPr>
          <w:t>There are three options for discussion at RAN level:</w:t>
        </w:r>
      </w:hyperlink>
    </w:p>
    <w:p w14:paraId="5BDDA468" w14:textId="77777777" w:rsidR="0024529A" w:rsidRDefault="00A21BBC" w:rsidP="0087360B">
      <w:pPr>
        <w:pStyle w:val="TableofFigures"/>
        <w:tabs>
          <w:tab w:val="right" w:leader="dot" w:pos="9625"/>
        </w:tabs>
        <w:ind w:hanging="531"/>
        <w:rPr>
          <w:rFonts w:asciiTheme="minorHAnsi" w:eastAsiaTheme="minorEastAsia" w:hAnsiTheme="minorHAnsi" w:cstheme="minorBidi"/>
          <w:b w:val="0"/>
          <w:noProof/>
          <w:sz w:val="22"/>
          <w:szCs w:val="22"/>
          <w:lang w:val="sv-SE" w:eastAsia="sv-SE"/>
        </w:rPr>
      </w:pPr>
      <w:hyperlink w:anchor="_Toc73614551" w:history="1">
        <w:r w:rsidR="0024529A" w:rsidRPr="00C93132">
          <w:rPr>
            <w:rStyle w:val="Hyperlink"/>
            <w:rFonts w:ascii="Symbol" w:hAnsi="Symbol"/>
            <w:noProof/>
            <w:lang w:val="en-US"/>
          </w:rPr>
          <w:t></w:t>
        </w:r>
        <w:r w:rsidR="0024529A">
          <w:rPr>
            <w:rFonts w:asciiTheme="minorHAnsi" w:eastAsiaTheme="minorEastAsia" w:hAnsiTheme="minorHAnsi" w:cstheme="minorBidi"/>
            <w:b w:val="0"/>
            <w:noProof/>
            <w:sz w:val="22"/>
            <w:szCs w:val="22"/>
            <w:lang w:val="sv-SE" w:eastAsia="sv-SE"/>
          </w:rPr>
          <w:tab/>
        </w:r>
        <w:r w:rsidR="0024529A" w:rsidRPr="00C93132">
          <w:rPr>
            <w:rStyle w:val="Hyperlink"/>
            <w:noProof/>
            <w:lang w:val="en-US"/>
          </w:rPr>
          <w:t>Option 1: Endorse the proposal presented at RAN1#105e. Thus, RAN1 continue to study, and specify if needed, two schemes (one of Case 1, one of Case 2) for Rel-17.</w:t>
        </w:r>
      </w:hyperlink>
    </w:p>
    <w:p w14:paraId="60F90006" w14:textId="77777777" w:rsidR="0024529A" w:rsidRDefault="00A21BBC" w:rsidP="0087360B">
      <w:pPr>
        <w:pStyle w:val="TableofFigures"/>
        <w:tabs>
          <w:tab w:val="right" w:leader="dot" w:pos="9625"/>
        </w:tabs>
        <w:ind w:hanging="531"/>
        <w:rPr>
          <w:rFonts w:asciiTheme="minorHAnsi" w:eastAsiaTheme="minorEastAsia" w:hAnsiTheme="minorHAnsi" w:cstheme="minorBidi"/>
          <w:b w:val="0"/>
          <w:noProof/>
          <w:sz w:val="22"/>
          <w:szCs w:val="22"/>
          <w:lang w:val="sv-SE" w:eastAsia="sv-SE"/>
        </w:rPr>
      </w:pPr>
      <w:hyperlink w:anchor="_Toc73614552" w:history="1">
        <w:r w:rsidR="0024529A" w:rsidRPr="00C93132">
          <w:rPr>
            <w:rStyle w:val="Hyperlink"/>
            <w:rFonts w:ascii="Symbol" w:hAnsi="Symbol"/>
            <w:noProof/>
          </w:rPr>
          <w:t></w:t>
        </w:r>
        <w:r w:rsidR="0024529A">
          <w:rPr>
            <w:rFonts w:asciiTheme="minorHAnsi" w:eastAsiaTheme="minorEastAsia" w:hAnsiTheme="minorHAnsi" w:cstheme="minorBidi"/>
            <w:b w:val="0"/>
            <w:noProof/>
            <w:sz w:val="22"/>
            <w:szCs w:val="22"/>
            <w:lang w:val="sv-SE" w:eastAsia="sv-SE"/>
          </w:rPr>
          <w:tab/>
        </w:r>
        <w:r w:rsidR="0024529A" w:rsidRPr="00C93132">
          <w:rPr>
            <w:rStyle w:val="Hyperlink"/>
            <w:noProof/>
            <w:lang w:val="en-US"/>
          </w:rPr>
          <w:t>Option 2: Endorse the converged Case 2 scheme, Case 2-3 (delta-CQI/MCS), for Rel-17. See the agreement at RAN1#104bis. Exclude all Case 1 schemes from the scope of the WID.</w:t>
        </w:r>
      </w:hyperlink>
    </w:p>
    <w:p w14:paraId="4B82C2A4" w14:textId="77777777" w:rsidR="0024529A" w:rsidRDefault="00A21BBC" w:rsidP="0087360B">
      <w:pPr>
        <w:pStyle w:val="TableofFigures"/>
        <w:tabs>
          <w:tab w:val="right" w:leader="dot" w:pos="9625"/>
        </w:tabs>
        <w:ind w:hanging="531"/>
        <w:rPr>
          <w:rFonts w:asciiTheme="minorHAnsi" w:eastAsiaTheme="minorEastAsia" w:hAnsiTheme="minorHAnsi" w:cstheme="minorBidi"/>
          <w:b w:val="0"/>
          <w:noProof/>
          <w:sz w:val="22"/>
          <w:szCs w:val="22"/>
          <w:lang w:val="sv-SE" w:eastAsia="sv-SE"/>
        </w:rPr>
      </w:pPr>
      <w:hyperlink w:anchor="_Toc73614553" w:history="1">
        <w:r w:rsidR="0024529A" w:rsidRPr="00C93132">
          <w:rPr>
            <w:rStyle w:val="Hyperlink"/>
            <w:rFonts w:ascii="Symbol" w:hAnsi="Symbol"/>
            <w:noProof/>
          </w:rPr>
          <w:t></w:t>
        </w:r>
        <w:r w:rsidR="0024529A">
          <w:rPr>
            <w:rFonts w:asciiTheme="minorHAnsi" w:eastAsiaTheme="minorEastAsia" w:hAnsiTheme="minorHAnsi" w:cstheme="minorBidi"/>
            <w:b w:val="0"/>
            <w:noProof/>
            <w:sz w:val="22"/>
            <w:szCs w:val="22"/>
            <w:lang w:val="sv-SE" w:eastAsia="sv-SE"/>
          </w:rPr>
          <w:tab/>
        </w:r>
        <w:r w:rsidR="0024529A" w:rsidRPr="00C93132">
          <w:rPr>
            <w:rStyle w:val="Hyperlink"/>
            <w:noProof/>
            <w:lang w:val="en-US"/>
          </w:rPr>
          <w:t>Option 3: Conclude that: lack of progress in RAN1 study indicates that CSI feedback enhancement does not need to be specified in Rel-17.</w:t>
        </w:r>
      </w:hyperlink>
    </w:p>
    <w:p w14:paraId="0BD4C653" w14:textId="5BEF35DF" w:rsidR="006E1C82" w:rsidRDefault="006F6582" w:rsidP="008E065E">
      <w:pPr>
        <w:pStyle w:val="BodyText"/>
        <w:rPr>
          <w:b/>
          <w:bCs/>
        </w:rPr>
      </w:pPr>
      <w:r>
        <w:rPr>
          <w:b/>
          <w:bCs/>
        </w:rPr>
        <w:fldChar w:fldCharType="end"/>
      </w:r>
    </w:p>
    <w:p w14:paraId="7CC906AF" w14:textId="77777777" w:rsidR="006E1C82" w:rsidRDefault="006E1C82" w:rsidP="008E065E">
      <w:pPr>
        <w:pStyle w:val="BodyText"/>
        <w:rPr>
          <w:b/>
          <w:bCs/>
        </w:rPr>
      </w:pPr>
    </w:p>
    <w:p w14:paraId="4712720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66898A" w14:textId="77777777" w:rsidR="0024529A" w:rsidRDefault="006E1C82">
      <w:pPr>
        <w:pStyle w:val="TableofFigures"/>
        <w:tabs>
          <w:tab w:val="right" w:leader="dot" w:pos="9625"/>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614554" w:history="1">
        <w:r w:rsidR="0024529A" w:rsidRPr="000A778F">
          <w:rPr>
            <w:rStyle w:val="Hyperlink"/>
            <w:noProof/>
          </w:rPr>
          <w:t>Proposal 1</w:t>
        </w:r>
        <w:r w:rsidR="0024529A">
          <w:rPr>
            <w:rFonts w:asciiTheme="minorHAnsi" w:eastAsiaTheme="minorEastAsia" w:hAnsiTheme="minorHAnsi" w:cstheme="minorBidi"/>
            <w:b w:val="0"/>
            <w:noProof/>
            <w:sz w:val="22"/>
            <w:szCs w:val="22"/>
            <w:lang w:val="sv-SE" w:eastAsia="sv-SE"/>
          </w:rPr>
          <w:tab/>
        </w:r>
        <w:r w:rsidR="0024529A" w:rsidRPr="000A778F">
          <w:rPr>
            <w:rStyle w:val="Hyperlink"/>
            <w:noProof/>
          </w:rPr>
          <w:t>RAN#92e provides clear guidance to RAN1 work on CSI enhancement for the remaining three RAN1 meetings. Modify the IIoT/URLLC WID as necessary.</w:t>
        </w:r>
      </w:hyperlink>
    </w:p>
    <w:p w14:paraId="4A5CA458" w14:textId="1A93DD1D" w:rsidR="00C01F33" w:rsidRPr="002E65DA" w:rsidRDefault="006E1C82" w:rsidP="002E65DA">
      <w:pPr>
        <w:pStyle w:val="BodyText"/>
        <w:rPr>
          <w:b/>
          <w:bCs/>
        </w:rPr>
      </w:pPr>
      <w:r>
        <w:rPr>
          <w:b/>
          <w:bCs/>
          <w:lang w:val="en-US"/>
        </w:rPr>
        <w:fldChar w:fldCharType="end"/>
      </w:r>
      <w:r w:rsidRPr="00CE0424">
        <w:rPr>
          <w:b/>
          <w:bCs/>
        </w:rPr>
        <w:t xml:space="preserve"> </w:t>
      </w:r>
    </w:p>
    <w:p w14:paraId="5F19AAB2" w14:textId="77777777" w:rsidR="00F507D1" w:rsidRPr="00CE0424" w:rsidRDefault="00F507D1" w:rsidP="00CE0424">
      <w:pPr>
        <w:pStyle w:val="Heading1"/>
      </w:pPr>
      <w:bookmarkStart w:id="15" w:name="_In-sequence_SDU_delivery"/>
      <w:bookmarkEnd w:id="15"/>
      <w:r w:rsidRPr="00CE0424">
        <w:t>References</w:t>
      </w:r>
    </w:p>
    <w:p w14:paraId="76B649A0" w14:textId="62814889" w:rsidR="005F3025" w:rsidRPr="00CE0424" w:rsidRDefault="002D68F9" w:rsidP="00311702">
      <w:pPr>
        <w:pStyle w:val="Reference"/>
      </w:pPr>
      <w:bookmarkStart w:id="16" w:name="_Ref174151459"/>
      <w:bookmarkStart w:id="17" w:name="_Ref189809556"/>
      <w:r w:rsidRPr="002D68F9">
        <w:t>RP-202872</w:t>
      </w:r>
      <w:r w:rsidR="005F3025" w:rsidRPr="00CE0424">
        <w:t xml:space="preserve">, </w:t>
      </w:r>
      <w:r>
        <w:t>“</w:t>
      </w:r>
      <w:r w:rsidRPr="002D68F9">
        <w:t>Moderator's summary for email discussion [90E][</w:t>
      </w:r>
      <w:proofErr w:type="gramStart"/>
      <w:r w:rsidRPr="002D68F9">
        <w:t>26][</w:t>
      </w:r>
      <w:proofErr w:type="spellStart"/>
      <w:proofErr w:type="gramEnd"/>
      <w:r w:rsidRPr="002D68F9">
        <w:t>IIOT_scope</w:t>
      </w:r>
      <w:proofErr w:type="spellEnd"/>
      <w:r w:rsidRPr="002D68F9">
        <w:t>]</w:t>
      </w:r>
      <w:r>
        <w:t>”</w:t>
      </w:r>
      <w:r w:rsidR="005F3025" w:rsidRPr="00CE0424">
        <w:t xml:space="preserve">, </w:t>
      </w:r>
      <w:r w:rsidRPr="002D68F9">
        <w:t>Nokia, Nokia Shanghai Bell (Moderator)</w:t>
      </w:r>
      <w:r w:rsidR="005F3025" w:rsidRPr="00CE0424">
        <w:t xml:space="preserve">, </w:t>
      </w:r>
      <w:r w:rsidRPr="002D68F9">
        <w:t>TSG RAN Meeting #90 (e-meeting)</w:t>
      </w:r>
      <w:r w:rsidR="005F3025" w:rsidRPr="00CE0424">
        <w:t xml:space="preserve">, </w:t>
      </w:r>
      <w:r w:rsidRPr="002D68F9">
        <w:t>7-11 December 2020</w:t>
      </w:r>
      <w:r>
        <w:t>.</w:t>
      </w:r>
    </w:p>
    <w:p w14:paraId="397BB491" w14:textId="793BBA69" w:rsidR="00977108" w:rsidRDefault="00977108" w:rsidP="00311702">
      <w:pPr>
        <w:pStyle w:val="Reference"/>
      </w:pPr>
      <w:r w:rsidRPr="00977108">
        <w:t>RP-210854</w:t>
      </w:r>
      <w:r>
        <w:t xml:space="preserve"> (</w:t>
      </w:r>
      <w:r w:rsidRPr="00977108">
        <w:t>Revision of RP-210834</w:t>
      </w:r>
      <w:r>
        <w:t>), “</w:t>
      </w:r>
      <w:r w:rsidRPr="00977108">
        <w:t>Revised WID: Enhanced Industrial Internet of Things (IoT) and ultra-reliable and low latency communication (URLLC) support for NR</w:t>
      </w:r>
      <w:r>
        <w:t xml:space="preserve">,” </w:t>
      </w:r>
      <w:r w:rsidRPr="00977108">
        <w:t>3GPP TSG RAN Meeting #91e</w:t>
      </w:r>
      <w:r>
        <w:t xml:space="preserve">, </w:t>
      </w:r>
      <w:r w:rsidRPr="00977108">
        <w:t xml:space="preserve">16 – 26 </w:t>
      </w:r>
      <w:proofErr w:type="gramStart"/>
      <w:r w:rsidRPr="00977108">
        <w:t>March,</w:t>
      </w:r>
      <w:proofErr w:type="gramEnd"/>
      <w:r w:rsidRPr="00977108">
        <w:t xml:space="preserve"> 2021</w:t>
      </w:r>
      <w:r>
        <w:t>.</w:t>
      </w:r>
    </w:p>
    <w:p w14:paraId="17DA1201" w14:textId="573F7BC2" w:rsidR="00977108" w:rsidRDefault="00977108" w:rsidP="00311702">
      <w:pPr>
        <w:pStyle w:val="Reference"/>
      </w:pPr>
      <w:r w:rsidRPr="00977108">
        <w:lastRenderedPageBreak/>
        <w:t>RAN1 Chair’s Notes</w:t>
      </w:r>
      <w:r>
        <w:t xml:space="preserve">, </w:t>
      </w:r>
      <w:r w:rsidRPr="00977108">
        <w:t>3GPP TSG RAN WG1 Meeting #105-e</w:t>
      </w:r>
      <w:r>
        <w:t xml:space="preserve">, </w:t>
      </w:r>
      <w:r w:rsidRPr="00977108">
        <w:t>May 10th – 27th, 2021</w:t>
      </w:r>
      <w:r>
        <w:t>.</w:t>
      </w:r>
    </w:p>
    <w:p w14:paraId="2F44617E" w14:textId="27585561" w:rsidR="00E76C36" w:rsidRDefault="00CD1481" w:rsidP="00CE0424">
      <w:pPr>
        <w:pStyle w:val="Reference"/>
      </w:pPr>
      <w:bookmarkStart w:id="18" w:name="_Ref73722544"/>
      <w:r w:rsidRPr="00CD1481">
        <w:t>WS-210307</w:t>
      </w:r>
      <w:r>
        <w:t>, “</w:t>
      </w:r>
      <w:r w:rsidR="00E00E14" w:rsidRPr="00E00E14">
        <w:t>Discussion on Release 18 MIMO enhancements</w:t>
      </w:r>
      <w:r>
        <w:t>”, Ericsson</w:t>
      </w:r>
      <w:bookmarkEnd w:id="18"/>
      <w:bookmarkEnd w:id="16"/>
      <w:bookmarkEnd w:id="17"/>
    </w:p>
    <w:p w14:paraId="0D7E4C49" w14:textId="6719D8F8" w:rsidR="00E76C36" w:rsidRPr="00CE0424" w:rsidRDefault="00E76C36" w:rsidP="00E76C36">
      <w:pPr>
        <w:pStyle w:val="Heading1"/>
      </w:pPr>
      <w:r>
        <w:t>Appendix. RAN1 Agreements</w:t>
      </w:r>
    </w:p>
    <w:p w14:paraId="1AFB6FF6" w14:textId="3B02FD3F" w:rsidR="00E76C36" w:rsidRDefault="00E76C36" w:rsidP="00E76C36">
      <w:pPr>
        <w:pStyle w:val="Heading2"/>
      </w:pPr>
      <w:r>
        <w:t>RAN1#104</w:t>
      </w:r>
    </w:p>
    <w:p w14:paraId="32961D42" w14:textId="65097839" w:rsidR="00E76C36" w:rsidRPr="00E76C36" w:rsidRDefault="00E76C36" w:rsidP="00E76C36">
      <w:pPr>
        <w:overflowPunct/>
        <w:autoSpaceDE/>
        <w:autoSpaceDN/>
        <w:adjustRightInd/>
        <w:spacing w:before="240" w:after="0"/>
        <w:textAlignment w:val="auto"/>
        <w:rPr>
          <w:rFonts w:eastAsia="Calibri"/>
          <w:lang w:val="en-US" w:eastAsia="en-US"/>
        </w:rPr>
      </w:pPr>
      <w:r w:rsidRPr="00E76C36">
        <w:rPr>
          <w:rFonts w:eastAsia="Calibri"/>
          <w:b/>
          <w:bCs/>
          <w:u w:val="single"/>
          <w:lang w:eastAsia="en-US"/>
        </w:rPr>
        <w:t>Conclusion</w:t>
      </w:r>
      <w:r w:rsidRPr="00E76C36">
        <w:rPr>
          <w:rFonts w:eastAsia="Calibri"/>
          <w:b/>
          <w:bCs/>
          <w:lang w:eastAsia="en-US"/>
        </w:rPr>
        <w:t>:</w:t>
      </w:r>
      <w:r w:rsidRPr="00E76C36">
        <w:rPr>
          <w:rFonts w:eastAsia="Calibri"/>
          <w:lang w:eastAsia="en-US"/>
        </w:rPr>
        <w:t xml:space="preserve"> Continue evaluation of new reporting Case 1 and Case 2 for the schemes identified in Appendix B of </w:t>
      </w:r>
      <w:hyperlink r:id="rId11" w:history="1">
        <w:r w:rsidRPr="00E76C36">
          <w:rPr>
            <w:rFonts w:eastAsia="Calibri"/>
            <w:color w:val="0000FF"/>
            <w:u w:val="single"/>
            <w:lang w:eastAsia="en-US"/>
          </w:rPr>
          <w:t>R1-2102131</w:t>
        </w:r>
      </w:hyperlink>
      <w:r w:rsidRPr="00E76C36">
        <w:rPr>
          <w:rFonts w:eastAsia="Calibri"/>
          <w:lang w:eastAsia="en-US"/>
        </w:rPr>
        <w:t xml:space="preserve">. </w:t>
      </w:r>
    </w:p>
    <w:p w14:paraId="43ED3CB3" w14:textId="77777777" w:rsidR="00E76C36" w:rsidRPr="00E76C36" w:rsidRDefault="00E76C36" w:rsidP="00E76C36">
      <w:pPr>
        <w:numPr>
          <w:ilvl w:val="0"/>
          <w:numId w:val="25"/>
        </w:numPr>
        <w:overflowPunct/>
        <w:autoSpaceDE/>
        <w:autoSpaceDN/>
        <w:adjustRightInd/>
        <w:spacing w:after="0" w:line="252" w:lineRule="auto"/>
        <w:textAlignment w:val="auto"/>
        <w:rPr>
          <w:lang w:eastAsia="x-none"/>
        </w:rPr>
      </w:pPr>
      <w:r w:rsidRPr="00E76C36">
        <w:rPr>
          <w:rFonts w:eastAsia="Batang"/>
          <w:lang w:eastAsia="x-none"/>
        </w:rPr>
        <w:t xml:space="preserve">Companies are encouraged to provide their views on each scheme against each criterion in respective Tables in Appendix B. </w:t>
      </w:r>
    </w:p>
    <w:p w14:paraId="7F3E830E" w14:textId="77777777" w:rsidR="00E76C36" w:rsidRPr="00E76C36" w:rsidRDefault="00E76C36" w:rsidP="00E76C36">
      <w:pPr>
        <w:numPr>
          <w:ilvl w:val="0"/>
          <w:numId w:val="25"/>
        </w:numPr>
        <w:overflowPunct/>
        <w:autoSpaceDE/>
        <w:autoSpaceDN/>
        <w:adjustRightInd/>
        <w:spacing w:after="0" w:line="252" w:lineRule="auto"/>
        <w:textAlignment w:val="auto"/>
        <w:rPr>
          <w:rFonts w:eastAsia="Batang"/>
          <w:lang w:eastAsia="x-none"/>
        </w:rPr>
      </w:pPr>
      <w:r w:rsidRPr="00E76C36">
        <w:rPr>
          <w:rFonts w:eastAsia="Batang"/>
          <w:lang w:eastAsia="x-none"/>
        </w:rPr>
        <w:t>Companies are encouraged to provide additional evaluation results for as many schemes as possible, based on assumptions agreed in RAN1#102-e.</w:t>
      </w:r>
    </w:p>
    <w:p w14:paraId="1C369CBC" w14:textId="77777777" w:rsidR="00E76C36" w:rsidRPr="00E76C36" w:rsidRDefault="00E76C36" w:rsidP="00E76C36">
      <w:pPr>
        <w:numPr>
          <w:ilvl w:val="0"/>
          <w:numId w:val="25"/>
        </w:numPr>
        <w:overflowPunct/>
        <w:autoSpaceDE/>
        <w:autoSpaceDN/>
        <w:adjustRightInd/>
        <w:spacing w:after="0" w:line="252" w:lineRule="auto"/>
        <w:textAlignment w:val="auto"/>
        <w:rPr>
          <w:rFonts w:eastAsia="Batang"/>
          <w:lang w:eastAsia="x-none"/>
        </w:rPr>
      </w:pPr>
      <w:r w:rsidRPr="00E76C36">
        <w:rPr>
          <w:rFonts w:eastAsia="Batang"/>
          <w:lang w:eastAsia="x-none"/>
        </w:rPr>
        <w:t xml:space="preserve">Aim for down-selection at RAN1#104-b-e by </w:t>
      </w:r>
      <w:proofErr w:type="gramStart"/>
      <w:r w:rsidRPr="00E76C36">
        <w:rPr>
          <w:rFonts w:eastAsia="Batang"/>
          <w:lang w:eastAsia="x-none"/>
        </w:rPr>
        <w:t>taking into account</w:t>
      </w:r>
      <w:proofErr w:type="gramEnd"/>
      <w:r w:rsidRPr="00E76C36">
        <w:rPr>
          <w:rFonts w:eastAsia="Batang"/>
          <w:lang w:eastAsia="x-none"/>
        </w:rPr>
        <w:t xml:space="preserve"> evaluation results and assessment against criteria from Appendix B.</w:t>
      </w:r>
    </w:p>
    <w:p w14:paraId="1F229A18" w14:textId="1662B0AA" w:rsidR="00E76C36" w:rsidRDefault="00E76C36" w:rsidP="00CE0424">
      <w:pPr>
        <w:pStyle w:val="BodyText"/>
      </w:pPr>
    </w:p>
    <w:p w14:paraId="63202CF7" w14:textId="01F0FD28" w:rsidR="00E76C36" w:rsidRDefault="00E76C36" w:rsidP="00E76C36">
      <w:pPr>
        <w:pStyle w:val="Heading2"/>
      </w:pPr>
      <w:r>
        <w:t>RAN1#104bis</w:t>
      </w:r>
    </w:p>
    <w:p w14:paraId="79B2785A" w14:textId="77777777" w:rsidR="00E76C36" w:rsidRPr="00E76C36" w:rsidRDefault="00E76C36" w:rsidP="00E76C36">
      <w:pPr>
        <w:overflowPunct/>
        <w:autoSpaceDE/>
        <w:autoSpaceDN/>
        <w:adjustRightInd/>
        <w:spacing w:after="0"/>
        <w:textAlignment w:val="auto"/>
        <w:rPr>
          <w:rFonts w:ascii="Times" w:eastAsia="Batang" w:hAnsi="Times"/>
          <w:b/>
          <w:bCs/>
          <w:u w:val="single"/>
          <w:lang w:eastAsia="en-US"/>
        </w:rPr>
      </w:pPr>
      <w:r w:rsidRPr="00E76C36">
        <w:rPr>
          <w:rFonts w:ascii="Times" w:eastAsia="Batang" w:hAnsi="Times"/>
          <w:b/>
          <w:bCs/>
          <w:u w:val="single"/>
          <w:lang w:eastAsia="en-US"/>
        </w:rPr>
        <w:t>Conclusion:</w:t>
      </w:r>
    </w:p>
    <w:p w14:paraId="4EBFFC2C" w14:textId="77777777" w:rsidR="00E76C36" w:rsidRPr="00E76C36" w:rsidRDefault="00E76C36" w:rsidP="00E76C36">
      <w:pPr>
        <w:overflowPunct/>
        <w:autoSpaceDE/>
        <w:autoSpaceDN/>
        <w:adjustRightInd/>
        <w:spacing w:after="0"/>
        <w:textAlignment w:val="auto"/>
        <w:rPr>
          <w:rFonts w:ascii="Times" w:eastAsia="Batang" w:hAnsi="Times"/>
          <w:color w:val="000000"/>
          <w:lang w:eastAsia="en-US"/>
        </w:rPr>
      </w:pPr>
      <w:r w:rsidRPr="00E76C36">
        <w:rPr>
          <w:rFonts w:ascii="Times" w:eastAsia="Batang" w:hAnsi="Times"/>
          <w:color w:val="000000"/>
          <w:lang w:eastAsia="en-US"/>
        </w:rPr>
        <w:t>For new reporting Case 1, do not consider further the following schemes:</w:t>
      </w:r>
    </w:p>
    <w:p w14:paraId="3639F7FB" w14:textId="77777777" w:rsidR="00E76C36" w:rsidRPr="00E76C36" w:rsidRDefault="00E76C36" w:rsidP="00E76C36">
      <w:pPr>
        <w:numPr>
          <w:ilvl w:val="0"/>
          <w:numId w:val="24"/>
        </w:numPr>
        <w:overflowPunct/>
        <w:autoSpaceDE/>
        <w:autoSpaceDN/>
        <w:adjustRightInd/>
        <w:spacing w:after="0" w:line="252" w:lineRule="auto"/>
        <w:textAlignment w:val="auto"/>
        <w:rPr>
          <w:rFonts w:ascii="Times" w:eastAsia="Batang" w:hAnsi="Times"/>
          <w:color w:val="000000"/>
          <w:lang w:eastAsia="x-none"/>
        </w:rPr>
      </w:pPr>
      <w:r w:rsidRPr="00E76C36">
        <w:rPr>
          <w:rFonts w:ascii="Times" w:eastAsia="Batang" w:hAnsi="Times"/>
          <w:color w:val="000000"/>
          <w:lang w:eastAsia="x-none"/>
        </w:rPr>
        <w:t>Case 1-2: CSI prediction</w:t>
      </w:r>
    </w:p>
    <w:p w14:paraId="68EB2369" w14:textId="77777777" w:rsidR="00E76C36" w:rsidRPr="00E76C36" w:rsidRDefault="00E76C36" w:rsidP="00E76C36">
      <w:pPr>
        <w:numPr>
          <w:ilvl w:val="0"/>
          <w:numId w:val="24"/>
        </w:numPr>
        <w:overflowPunct/>
        <w:autoSpaceDE/>
        <w:autoSpaceDN/>
        <w:adjustRightInd/>
        <w:spacing w:after="0" w:line="252" w:lineRule="auto"/>
        <w:textAlignment w:val="auto"/>
        <w:rPr>
          <w:rFonts w:ascii="Times" w:eastAsia="Batang" w:hAnsi="Times"/>
          <w:color w:val="000000"/>
          <w:lang w:eastAsia="x-none"/>
        </w:rPr>
      </w:pPr>
      <w:r w:rsidRPr="00E76C36">
        <w:rPr>
          <w:rFonts w:ascii="Times" w:eastAsia="Batang" w:hAnsi="Times"/>
          <w:color w:val="000000"/>
          <w:lang w:eastAsia="x-none"/>
        </w:rPr>
        <w:t>Case 1-4: Interference covariance matrix</w:t>
      </w:r>
    </w:p>
    <w:p w14:paraId="1FBA5B13" w14:textId="77777777" w:rsidR="00E76C36" w:rsidRPr="00E76C36" w:rsidRDefault="00E76C36" w:rsidP="00E76C36">
      <w:pPr>
        <w:numPr>
          <w:ilvl w:val="0"/>
          <w:numId w:val="24"/>
        </w:numPr>
        <w:overflowPunct/>
        <w:autoSpaceDE/>
        <w:autoSpaceDN/>
        <w:adjustRightInd/>
        <w:spacing w:after="0" w:line="252" w:lineRule="auto"/>
        <w:textAlignment w:val="auto"/>
        <w:rPr>
          <w:rFonts w:ascii="Times" w:eastAsia="Batang" w:hAnsi="Times"/>
          <w:color w:val="000000"/>
          <w:lang w:eastAsia="x-none"/>
        </w:rPr>
      </w:pPr>
      <w:r w:rsidRPr="00E76C36">
        <w:rPr>
          <w:rFonts w:ascii="Times" w:eastAsia="Batang" w:hAnsi="Times"/>
          <w:color w:val="000000"/>
          <w:lang w:eastAsia="x-none"/>
        </w:rPr>
        <w:t>Case 1-9: Reference wideband CQI excludes worst sub-bands</w:t>
      </w:r>
    </w:p>
    <w:p w14:paraId="4B4498E8" w14:textId="77777777" w:rsidR="00E76C36" w:rsidRPr="00E76C36" w:rsidRDefault="00E76C36" w:rsidP="00E76C36">
      <w:pPr>
        <w:numPr>
          <w:ilvl w:val="0"/>
          <w:numId w:val="24"/>
        </w:numPr>
        <w:overflowPunct/>
        <w:autoSpaceDE/>
        <w:autoSpaceDN/>
        <w:adjustRightInd/>
        <w:spacing w:after="0" w:line="252" w:lineRule="auto"/>
        <w:textAlignment w:val="auto"/>
        <w:rPr>
          <w:rFonts w:ascii="Times" w:eastAsia="Batang" w:hAnsi="Times"/>
          <w:color w:val="000000"/>
          <w:lang w:eastAsia="x-none"/>
        </w:rPr>
      </w:pPr>
      <w:r w:rsidRPr="00E76C36">
        <w:rPr>
          <w:rFonts w:ascii="Times" w:eastAsia="Batang" w:hAnsi="Times"/>
          <w:color w:val="000000"/>
          <w:lang w:eastAsia="x-none"/>
        </w:rPr>
        <w:t>Case 1-10: CSI expiration time</w:t>
      </w:r>
    </w:p>
    <w:p w14:paraId="21AACE2E" w14:textId="77777777" w:rsidR="00E76C36" w:rsidRPr="00E76C36" w:rsidRDefault="00E76C36" w:rsidP="00E76C36">
      <w:pPr>
        <w:overflowPunct/>
        <w:autoSpaceDE/>
        <w:autoSpaceDN/>
        <w:adjustRightInd/>
        <w:spacing w:after="0"/>
        <w:textAlignment w:val="auto"/>
        <w:rPr>
          <w:rFonts w:ascii="Times" w:eastAsia="Batang" w:hAnsi="Times"/>
          <w:szCs w:val="24"/>
          <w:highlight w:val="green"/>
          <w:lang w:eastAsia="x-none"/>
        </w:rPr>
      </w:pPr>
    </w:p>
    <w:p w14:paraId="30B482A5" w14:textId="77777777" w:rsidR="00E76C36" w:rsidRPr="00E76C36" w:rsidRDefault="00E76C36" w:rsidP="00E76C36">
      <w:pPr>
        <w:overflowPunct/>
        <w:autoSpaceDE/>
        <w:autoSpaceDN/>
        <w:adjustRightInd/>
        <w:spacing w:after="0"/>
        <w:textAlignment w:val="auto"/>
        <w:rPr>
          <w:rFonts w:eastAsia="Batang"/>
          <w:szCs w:val="22"/>
          <w:lang w:val="en-US" w:eastAsia="zh-CN"/>
        </w:rPr>
      </w:pPr>
      <w:r w:rsidRPr="00E76C36">
        <w:rPr>
          <w:rFonts w:eastAsia="Batang"/>
          <w:szCs w:val="24"/>
          <w:highlight w:val="green"/>
          <w:lang w:eastAsia="zh-CN"/>
        </w:rPr>
        <w:t>Agreement</w:t>
      </w:r>
      <w:r w:rsidRPr="00E76C36">
        <w:rPr>
          <w:rFonts w:eastAsia="Batang"/>
          <w:szCs w:val="24"/>
          <w:lang w:eastAsia="zh-CN"/>
        </w:rPr>
        <w:t>: Focus study on the following for new reporting Case 1:</w:t>
      </w:r>
    </w:p>
    <w:p w14:paraId="1804B5CE" w14:textId="77777777" w:rsidR="00E76C36" w:rsidRPr="00E76C36" w:rsidRDefault="00E76C36" w:rsidP="00E76C36">
      <w:pPr>
        <w:numPr>
          <w:ilvl w:val="0"/>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 xml:space="preserve">Reporting of new metric, where new metric shall be determined based on network configured channel and interference measurement interval (multiple CMR and/or IMR instances) to enable accurate MCS selection. </w:t>
      </w:r>
    </w:p>
    <w:p w14:paraId="55BA69E4" w14:textId="672F1C90" w:rsidR="00E76C36" w:rsidRPr="00E76C36" w:rsidRDefault="00E76C36" w:rsidP="00E76C36">
      <w:pPr>
        <w:numPr>
          <w:ilvl w:val="1"/>
          <w:numId w:val="25"/>
        </w:numPr>
        <w:overflowPunct/>
        <w:autoSpaceDE/>
        <w:autoSpaceDN/>
        <w:adjustRightInd/>
        <w:spacing w:after="0" w:line="252" w:lineRule="auto"/>
        <w:textAlignment w:val="auto"/>
        <w:rPr>
          <w:rFonts w:eastAsia="Batang"/>
          <w:szCs w:val="24"/>
          <w:lang w:eastAsia="x-none"/>
        </w:rPr>
      </w:pPr>
      <w:proofErr w:type="spellStart"/>
      <w:r w:rsidRPr="00E76C36">
        <w:rPr>
          <w:rFonts w:eastAsia="Batang"/>
          <w:szCs w:val="24"/>
          <w:lang w:eastAsia="x-none"/>
        </w:rPr>
        <w:t>Downselect</w:t>
      </w:r>
      <w:proofErr w:type="spellEnd"/>
      <w:r w:rsidRPr="00E76C36">
        <w:rPr>
          <w:rFonts w:eastAsia="Batang"/>
          <w:szCs w:val="24"/>
          <w:lang w:eastAsia="x-none"/>
        </w:rPr>
        <w:t xml:space="preserve"> by RAN1#105 to at most a single method from the following options:</w:t>
      </w:r>
    </w:p>
    <w:p w14:paraId="6B7D3F9E" w14:textId="77777777" w:rsidR="00E76C36" w:rsidRPr="00E76C36" w:rsidRDefault="00E76C36" w:rsidP="00E76C36">
      <w:pPr>
        <w:numPr>
          <w:ilvl w:val="2"/>
          <w:numId w:val="25"/>
        </w:numPr>
        <w:overflowPunct/>
        <w:autoSpaceDE/>
        <w:autoSpaceDN/>
        <w:adjustRightInd/>
        <w:spacing w:after="0" w:line="252" w:lineRule="auto"/>
        <w:textAlignment w:val="auto"/>
        <w:rPr>
          <w:rFonts w:ascii="Calibri" w:hAnsi="Calibri" w:cs="Calibri"/>
          <w:szCs w:val="24"/>
          <w:lang w:eastAsia="x-none"/>
        </w:rPr>
      </w:pPr>
      <w:r w:rsidRPr="00E76C36">
        <w:rPr>
          <w:rFonts w:eastAsia="Batang"/>
          <w:szCs w:val="24"/>
          <w:lang w:eastAsia="x-none"/>
        </w:rPr>
        <w:t xml:space="preserve">Mean-CQI/SINR and </w:t>
      </w:r>
      <w:proofErr w:type="spellStart"/>
      <w:r w:rsidRPr="00E76C36">
        <w:rPr>
          <w:rFonts w:eastAsia="Batang"/>
          <w:szCs w:val="24"/>
          <w:lang w:eastAsia="x-none"/>
        </w:rPr>
        <w:t>stdev</w:t>
      </w:r>
      <w:proofErr w:type="spellEnd"/>
      <w:r w:rsidRPr="00E76C36">
        <w:rPr>
          <w:rFonts w:eastAsia="Batang"/>
          <w:szCs w:val="24"/>
          <w:lang w:eastAsia="x-none"/>
        </w:rPr>
        <w:t>-CQI/SINR (FFS details)</w:t>
      </w:r>
    </w:p>
    <w:p w14:paraId="3EFE90E7" w14:textId="77777777" w:rsidR="00E76C36" w:rsidRPr="00E76C36" w:rsidRDefault="00E76C36" w:rsidP="00E76C36">
      <w:pPr>
        <w:numPr>
          <w:ilvl w:val="2"/>
          <w:numId w:val="25"/>
        </w:numPr>
        <w:overflowPunct/>
        <w:autoSpaceDE/>
        <w:autoSpaceDN/>
        <w:adjustRightInd/>
        <w:spacing w:after="0" w:line="252" w:lineRule="auto"/>
        <w:textAlignment w:val="auto"/>
        <w:rPr>
          <w:rFonts w:ascii="Times" w:eastAsia="Batang" w:hAnsi="Times"/>
          <w:szCs w:val="24"/>
          <w:lang w:eastAsia="x-none"/>
        </w:rPr>
      </w:pPr>
      <w:r w:rsidRPr="00E76C36">
        <w:rPr>
          <w:rFonts w:eastAsia="Batang"/>
          <w:szCs w:val="24"/>
          <w:lang w:eastAsia="x-none"/>
        </w:rPr>
        <w:t>CSI based on worst IMR occasion (FFS details)</w:t>
      </w:r>
    </w:p>
    <w:p w14:paraId="4709B52D" w14:textId="77777777" w:rsidR="00E76C36" w:rsidRPr="00E76C36" w:rsidRDefault="00E76C36" w:rsidP="00E76C36">
      <w:pPr>
        <w:numPr>
          <w:ilvl w:val="2"/>
          <w:numId w:val="25"/>
        </w:numPr>
        <w:overflowPunct/>
        <w:autoSpaceDE/>
        <w:autoSpaceDN/>
        <w:adjustRightInd/>
        <w:spacing w:after="0" w:line="252" w:lineRule="auto"/>
        <w:textAlignment w:val="auto"/>
        <w:rPr>
          <w:rFonts w:ascii="Times" w:eastAsia="Batang" w:hAnsi="Times"/>
          <w:szCs w:val="24"/>
          <w:lang w:eastAsia="x-none"/>
        </w:rPr>
      </w:pPr>
      <w:r w:rsidRPr="00E76C36">
        <w:rPr>
          <w:rFonts w:eastAsia="Batang"/>
          <w:szCs w:val="24"/>
          <w:lang w:eastAsia="x-none"/>
        </w:rPr>
        <w:t>Interference standard deviation (FFS details)</w:t>
      </w:r>
    </w:p>
    <w:p w14:paraId="5A784F38" w14:textId="77777777" w:rsidR="00E76C36" w:rsidRPr="00E76C36" w:rsidRDefault="00E76C36" w:rsidP="00E76C36">
      <w:pPr>
        <w:numPr>
          <w:ilvl w:val="2"/>
          <w:numId w:val="25"/>
        </w:numPr>
        <w:overflowPunct/>
        <w:autoSpaceDE/>
        <w:autoSpaceDN/>
        <w:adjustRightInd/>
        <w:spacing w:after="0" w:line="252" w:lineRule="auto"/>
        <w:textAlignment w:val="auto"/>
        <w:rPr>
          <w:rFonts w:ascii="Times" w:eastAsia="Batang" w:hAnsi="Times"/>
          <w:szCs w:val="24"/>
          <w:lang w:eastAsia="x-none"/>
        </w:rPr>
      </w:pPr>
      <w:r w:rsidRPr="00E76C36">
        <w:rPr>
          <w:rFonts w:eastAsia="Batang"/>
          <w:szCs w:val="24"/>
          <w:lang w:eastAsia="x-none"/>
        </w:rPr>
        <w:t>Worst-M CQI (FFS details)</w:t>
      </w:r>
    </w:p>
    <w:p w14:paraId="5484094F" w14:textId="77777777" w:rsidR="00E76C36" w:rsidRPr="00E76C36" w:rsidRDefault="00E76C36" w:rsidP="00E76C36">
      <w:pPr>
        <w:numPr>
          <w:ilvl w:val="1"/>
          <w:numId w:val="25"/>
        </w:numPr>
        <w:overflowPunct/>
        <w:autoSpaceDE/>
        <w:autoSpaceDN/>
        <w:adjustRightInd/>
        <w:spacing w:after="0" w:line="252" w:lineRule="auto"/>
        <w:textAlignment w:val="auto"/>
        <w:rPr>
          <w:rFonts w:ascii="Times" w:eastAsia="Batang" w:hAnsi="Times"/>
          <w:szCs w:val="24"/>
          <w:lang w:eastAsia="x-none"/>
        </w:rPr>
      </w:pPr>
      <w:r w:rsidRPr="00E76C36">
        <w:rPr>
          <w:rFonts w:eastAsia="Batang"/>
          <w:szCs w:val="24"/>
          <w:lang w:eastAsia="x-none"/>
        </w:rPr>
        <w:t>FFS: Whether network configured channel and interference measurement interval can also be applied to existing CSI type</w:t>
      </w:r>
    </w:p>
    <w:p w14:paraId="6866001A" w14:textId="77777777" w:rsidR="00E76C36" w:rsidRPr="00E76C36" w:rsidRDefault="00E76C36" w:rsidP="00E76C36">
      <w:pPr>
        <w:numPr>
          <w:ilvl w:val="0"/>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 xml:space="preserve">Increasing granularity of </w:t>
      </w:r>
      <w:proofErr w:type="spellStart"/>
      <w:r w:rsidRPr="00E76C36">
        <w:rPr>
          <w:rFonts w:eastAsia="Batang"/>
          <w:szCs w:val="24"/>
          <w:lang w:eastAsia="x-none"/>
        </w:rPr>
        <w:t>subband</w:t>
      </w:r>
      <w:proofErr w:type="spellEnd"/>
      <w:r w:rsidRPr="00E76C36">
        <w:rPr>
          <w:rFonts w:eastAsia="Batang"/>
          <w:szCs w:val="24"/>
          <w:lang w:eastAsia="x-none"/>
        </w:rPr>
        <w:t xml:space="preserve"> CQI (e.g. 3-bits differential </w:t>
      </w:r>
      <w:proofErr w:type="spellStart"/>
      <w:r w:rsidRPr="00E76C36">
        <w:rPr>
          <w:rFonts w:eastAsia="Batang"/>
          <w:szCs w:val="24"/>
          <w:lang w:eastAsia="x-none"/>
        </w:rPr>
        <w:t>subband</w:t>
      </w:r>
      <w:proofErr w:type="spellEnd"/>
      <w:r w:rsidRPr="00E76C36">
        <w:rPr>
          <w:rFonts w:eastAsia="Batang"/>
          <w:szCs w:val="24"/>
          <w:lang w:eastAsia="x-none"/>
        </w:rPr>
        <w:t xml:space="preserve"> CQI or 4-bits full </w:t>
      </w:r>
      <w:proofErr w:type="spellStart"/>
      <w:r w:rsidRPr="00E76C36">
        <w:rPr>
          <w:rFonts w:eastAsia="Batang"/>
          <w:szCs w:val="24"/>
          <w:lang w:eastAsia="x-none"/>
        </w:rPr>
        <w:t>subband</w:t>
      </w:r>
      <w:proofErr w:type="spellEnd"/>
      <w:r w:rsidRPr="00E76C36">
        <w:rPr>
          <w:rFonts w:eastAsia="Batang"/>
          <w:szCs w:val="24"/>
          <w:lang w:eastAsia="x-none"/>
        </w:rPr>
        <w:t xml:space="preserve"> CQI).</w:t>
      </w:r>
    </w:p>
    <w:p w14:paraId="2C1ECE92" w14:textId="77777777" w:rsidR="00E76C36" w:rsidRPr="00E76C36" w:rsidRDefault="00E76C36" w:rsidP="00E76C36">
      <w:pPr>
        <w:numPr>
          <w:ilvl w:val="0"/>
          <w:numId w:val="25"/>
        </w:numPr>
        <w:overflowPunct/>
        <w:autoSpaceDE/>
        <w:autoSpaceDN/>
        <w:adjustRightInd/>
        <w:spacing w:after="0" w:line="252" w:lineRule="auto"/>
        <w:textAlignment w:val="auto"/>
        <w:rPr>
          <w:rFonts w:ascii="Calibri" w:eastAsia="Batang" w:hAnsi="Calibri" w:cs="Calibri"/>
          <w:szCs w:val="24"/>
          <w:lang w:eastAsia="x-none"/>
        </w:rPr>
      </w:pPr>
      <w:r w:rsidRPr="00E76C36">
        <w:rPr>
          <w:rFonts w:eastAsia="Batang"/>
          <w:szCs w:val="24"/>
          <w:lang w:eastAsia="x-none"/>
        </w:rPr>
        <w:t>Updating only CQI in a report, where CQI is conditioned on a previous instance in which RI/PMI/(CRI) is updated.</w:t>
      </w:r>
    </w:p>
    <w:p w14:paraId="34E78ACF" w14:textId="77777777" w:rsidR="00E76C36" w:rsidRPr="00E76C36" w:rsidRDefault="00E76C36" w:rsidP="00E76C36">
      <w:pPr>
        <w:numPr>
          <w:ilvl w:val="1"/>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 xml:space="preserve">Applicable for same reporting quantity as R16 for CQI. </w:t>
      </w:r>
    </w:p>
    <w:p w14:paraId="31C503E3" w14:textId="77777777" w:rsidR="00E76C36" w:rsidRPr="00E76C36" w:rsidRDefault="00E76C36" w:rsidP="00E76C36">
      <w:pPr>
        <w:numPr>
          <w:ilvl w:val="1"/>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Whether network configured channel and interference measurement interval can also be applied</w:t>
      </w:r>
    </w:p>
    <w:p w14:paraId="6E32E963" w14:textId="77777777" w:rsidR="00E76C36" w:rsidRPr="00E76C36" w:rsidRDefault="00E76C36" w:rsidP="00E76C36">
      <w:pPr>
        <w:numPr>
          <w:ilvl w:val="1"/>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FFS: Whether RI/PMI/(CRI) is transmitted in a report where only CQI is updated</w:t>
      </w:r>
    </w:p>
    <w:p w14:paraId="0867F894" w14:textId="77777777" w:rsidR="00E76C36" w:rsidRPr="00E76C36" w:rsidRDefault="00E76C36" w:rsidP="00E76C36">
      <w:pPr>
        <w:numPr>
          <w:ilvl w:val="1"/>
          <w:numId w:val="25"/>
        </w:numPr>
        <w:overflowPunct/>
        <w:autoSpaceDE/>
        <w:autoSpaceDN/>
        <w:adjustRightInd/>
        <w:spacing w:after="0" w:line="252" w:lineRule="auto"/>
        <w:textAlignment w:val="auto"/>
        <w:rPr>
          <w:rFonts w:eastAsia="Batang"/>
          <w:szCs w:val="24"/>
          <w:lang w:eastAsia="x-none"/>
        </w:rPr>
      </w:pPr>
      <w:r w:rsidRPr="00E76C36">
        <w:rPr>
          <w:rFonts w:eastAsia="Batang"/>
          <w:szCs w:val="24"/>
          <w:lang w:eastAsia="x-none"/>
        </w:rPr>
        <w:t xml:space="preserve">FFS: whether the CQI processing time can be </w:t>
      </w:r>
      <w:r w:rsidRPr="00E76C36">
        <w:rPr>
          <w:rFonts w:eastAsia="Batang"/>
          <w:strike/>
          <w:szCs w:val="24"/>
          <w:lang w:eastAsia="x-none"/>
        </w:rPr>
        <w:t>is</w:t>
      </w:r>
      <w:r w:rsidRPr="00E76C36">
        <w:rPr>
          <w:rFonts w:eastAsia="Batang"/>
          <w:szCs w:val="24"/>
          <w:lang w:eastAsia="x-none"/>
        </w:rPr>
        <w:t xml:space="preserve"> reduced compared to Rel-16 CSI processing delay</w:t>
      </w:r>
    </w:p>
    <w:p w14:paraId="17B805C2" w14:textId="77777777" w:rsidR="00E76C36" w:rsidRPr="00E76C36" w:rsidRDefault="00E76C36" w:rsidP="00E76C36">
      <w:pPr>
        <w:overflowPunct/>
        <w:autoSpaceDE/>
        <w:autoSpaceDN/>
        <w:adjustRightInd/>
        <w:spacing w:after="0"/>
        <w:textAlignment w:val="auto"/>
        <w:rPr>
          <w:rFonts w:ascii="Times" w:eastAsia="Batang" w:hAnsi="Times"/>
          <w:szCs w:val="24"/>
          <w:highlight w:val="green"/>
          <w:lang w:eastAsia="x-none"/>
        </w:rPr>
      </w:pPr>
    </w:p>
    <w:p w14:paraId="24D8F10E" w14:textId="77777777" w:rsidR="00E76C36" w:rsidRPr="00E76C36" w:rsidRDefault="00E76C36" w:rsidP="00E76C36">
      <w:pPr>
        <w:overflowPunct/>
        <w:autoSpaceDE/>
        <w:autoSpaceDN/>
        <w:adjustRightInd/>
        <w:spacing w:after="0"/>
        <w:textAlignment w:val="auto"/>
        <w:rPr>
          <w:rFonts w:eastAsia="Batang"/>
          <w:b/>
          <w:bCs/>
          <w:sz w:val="32"/>
          <w:szCs w:val="32"/>
          <w:lang w:val="en-US" w:eastAsia="ko-KR"/>
        </w:rPr>
      </w:pPr>
      <w:r w:rsidRPr="00E76C36">
        <w:rPr>
          <w:rFonts w:ascii="Times" w:eastAsia="Batang" w:hAnsi="Times"/>
          <w:szCs w:val="24"/>
          <w:highlight w:val="green"/>
          <w:lang w:eastAsia="x-none"/>
        </w:rPr>
        <w:t>Agreements:</w:t>
      </w:r>
    </w:p>
    <w:p w14:paraId="31A476A3" w14:textId="77777777" w:rsidR="00E76C36" w:rsidRPr="00E76C36" w:rsidRDefault="00E76C36" w:rsidP="00E76C36">
      <w:pPr>
        <w:overflowPunct/>
        <w:autoSpaceDE/>
        <w:autoSpaceDN/>
        <w:adjustRightInd/>
        <w:spacing w:after="0"/>
        <w:textAlignment w:val="auto"/>
        <w:rPr>
          <w:rFonts w:eastAsia="Batang"/>
          <w:lang w:eastAsia="ko-KR"/>
        </w:rPr>
      </w:pPr>
      <w:r w:rsidRPr="00E76C36">
        <w:rPr>
          <w:rFonts w:eastAsia="Batang"/>
          <w:lang w:eastAsia="ko-KR"/>
        </w:rPr>
        <w:t>For new reporting Case 2, focus study on reporting of delta-CQI/MCS (Case 2-3):</w:t>
      </w:r>
    </w:p>
    <w:p w14:paraId="0D6808CF" w14:textId="77777777" w:rsidR="00E76C36" w:rsidRPr="00E76C36" w:rsidRDefault="00E76C36" w:rsidP="00E76C36">
      <w:pPr>
        <w:numPr>
          <w:ilvl w:val="0"/>
          <w:numId w:val="25"/>
        </w:numPr>
        <w:overflowPunct/>
        <w:autoSpaceDE/>
        <w:autoSpaceDN/>
        <w:adjustRightInd/>
        <w:spacing w:after="160" w:line="252" w:lineRule="auto"/>
        <w:textAlignment w:val="auto"/>
        <w:rPr>
          <w:rFonts w:eastAsia="Batang"/>
          <w:lang w:eastAsia="ko-KR"/>
        </w:rPr>
      </w:pPr>
      <w:r w:rsidRPr="00E76C36">
        <w:rPr>
          <w:rFonts w:eastAsia="Batang"/>
          <w:lang w:eastAsia="ko-KR"/>
        </w:rPr>
        <w:t>Note: this delta-CQI/MCS is determined based on UE implementation (for example, using SINR, LLR, raw BER, flipped bits, LDPC iterations, BLEP, # fail parity checks, etc.)</w:t>
      </w:r>
    </w:p>
    <w:p w14:paraId="6B26AC83" w14:textId="77777777" w:rsidR="00E76C36" w:rsidRPr="00E76C36" w:rsidRDefault="00E76C36" w:rsidP="00E76C36">
      <w:pPr>
        <w:numPr>
          <w:ilvl w:val="1"/>
          <w:numId w:val="25"/>
        </w:numPr>
        <w:overflowPunct/>
        <w:autoSpaceDE/>
        <w:autoSpaceDN/>
        <w:adjustRightInd/>
        <w:spacing w:after="160" w:line="252" w:lineRule="auto"/>
        <w:textAlignment w:val="auto"/>
        <w:rPr>
          <w:rFonts w:eastAsia="Batang"/>
          <w:lang w:eastAsia="ko-KR"/>
        </w:rPr>
      </w:pPr>
      <w:r w:rsidRPr="00E76C36">
        <w:rPr>
          <w:rFonts w:eastAsia="Batang"/>
          <w:lang w:eastAsia="ko-KR"/>
        </w:rPr>
        <w:t>Companies are encouraged to provide more details in their analysis</w:t>
      </w:r>
    </w:p>
    <w:p w14:paraId="45B50A16" w14:textId="77777777" w:rsidR="00E76C36" w:rsidRPr="00E76C36" w:rsidRDefault="00E76C36" w:rsidP="00E76C36">
      <w:pPr>
        <w:numPr>
          <w:ilvl w:val="0"/>
          <w:numId w:val="25"/>
        </w:numPr>
        <w:overflowPunct/>
        <w:autoSpaceDE/>
        <w:autoSpaceDN/>
        <w:adjustRightInd/>
        <w:spacing w:after="160" w:line="252" w:lineRule="auto"/>
        <w:textAlignment w:val="auto"/>
        <w:rPr>
          <w:rFonts w:eastAsia="Batang"/>
          <w:lang w:eastAsia="ko-KR"/>
        </w:rPr>
      </w:pPr>
      <w:r w:rsidRPr="00E76C36">
        <w:rPr>
          <w:rFonts w:eastAsia="Batang"/>
          <w:lang w:eastAsia="ko-KR"/>
        </w:rPr>
        <w:t>FFS: Granularity of new report type (e.g. units of CQI or MCS, how many bits)</w:t>
      </w:r>
    </w:p>
    <w:p w14:paraId="4D50C86E" w14:textId="77777777" w:rsidR="00E76C36" w:rsidRPr="00E76C36" w:rsidRDefault="00E76C36" w:rsidP="00E76C36">
      <w:pPr>
        <w:numPr>
          <w:ilvl w:val="0"/>
          <w:numId w:val="25"/>
        </w:numPr>
        <w:overflowPunct/>
        <w:autoSpaceDE/>
        <w:autoSpaceDN/>
        <w:adjustRightInd/>
        <w:spacing w:after="160" w:line="252" w:lineRule="auto"/>
        <w:textAlignment w:val="auto"/>
        <w:rPr>
          <w:rFonts w:eastAsia="Batang"/>
          <w:lang w:eastAsia="ko-KR"/>
        </w:rPr>
      </w:pPr>
      <w:r w:rsidRPr="00E76C36">
        <w:rPr>
          <w:rFonts w:eastAsia="Batang"/>
          <w:lang w:eastAsia="ko-KR"/>
        </w:rPr>
        <w:t>FFS: Whether quantity reported is relative to the scheduled MCS</w:t>
      </w:r>
    </w:p>
    <w:p w14:paraId="5127AA06" w14:textId="77777777" w:rsidR="00E76C36" w:rsidRPr="00CE0424" w:rsidRDefault="00E76C36" w:rsidP="00CE0424">
      <w:pPr>
        <w:pStyle w:val="BodyText"/>
      </w:pPr>
    </w:p>
    <w:sectPr w:rsidR="00E76C36" w:rsidRPr="00CE0424" w:rsidSect="00272C2E">
      <w:headerReference w:type="even" r:id="rId12"/>
      <w:footerReference w:type="default" r:id="rId13"/>
      <w:footnotePr>
        <w:numRestart w:val="eachSect"/>
      </w:footnotePr>
      <w:pgSz w:w="11907" w:h="16840" w:code="9"/>
      <w:pgMar w:top="1138" w:right="1134" w:bottom="141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663C3" w14:textId="77777777" w:rsidR="00E84AE6" w:rsidRDefault="00E84AE6">
      <w:r>
        <w:separator/>
      </w:r>
    </w:p>
  </w:endnote>
  <w:endnote w:type="continuationSeparator" w:id="0">
    <w:p w14:paraId="0AB427D1" w14:textId="77777777" w:rsidR="00E84AE6" w:rsidRDefault="00E84AE6">
      <w:r>
        <w:continuationSeparator/>
      </w:r>
    </w:p>
  </w:endnote>
  <w:endnote w:type="continuationNotice" w:id="1">
    <w:p w14:paraId="05A81EFD" w14:textId="77777777" w:rsidR="00E84AE6" w:rsidRDefault="00E84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1621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B6DF6" w14:textId="77777777" w:rsidR="00E84AE6" w:rsidRDefault="00E84AE6">
      <w:r>
        <w:separator/>
      </w:r>
    </w:p>
  </w:footnote>
  <w:footnote w:type="continuationSeparator" w:id="0">
    <w:p w14:paraId="17A5E570" w14:textId="77777777" w:rsidR="00E84AE6" w:rsidRDefault="00E84AE6">
      <w:r>
        <w:continuationSeparator/>
      </w:r>
    </w:p>
  </w:footnote>
  <w:footnote w:type="continuationNotice" w:id="1">
    <w:p w14:paraId="3E855345" w14:textId="77777777" w:rsidR="00E84AE6" w:rsidRDefault="00E84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571C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91EA956"/>
    <w:lvl w:ilvl="0" w:tplc="901E4CC4">
      <w:start w:val="1"/>
      <w:numFmt w:val="decimal"/>
      <w:pStyle w:val="Observation"/>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A8599D"/>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642A66A7"/>
    <w:multiLevelType w:val="hybridMultilevel"/>
    <w:tmpl w:val="D6889D3A"/>
    <w:lvl w:ilvl="0" w:tplc="559A8162">
      <w:start w:val="1"/>
      <w:numFmt w:val="decimal"/>
      <w:lvlText w:val="Option %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7"/>
  </w:num>
  <w:num w:numId="21">
    <w:abstractNumId w:val="10"/>
  </w:num>
  <w:num w:numId="22">
    <w:abstractNumId w:val="26"/>
  </w:num>
  <w:num w:numId="23">
    <w:abstractNumId w:val="24"/>
  </w:num>
  <w:num w:numId="24">
    <w:abstractNumId w:val="18"/>
  </w:num>
  <w:num w:numId="25">
    <w:abstractNumId w:val="24"/>
  </w:num>
  <w:num w:numId="26">
    <w:abstractNumId w:val="25"/>
  </w:num>
  <w:num w:numId="27">
    <w:abstractNumId w:val="22"/>
  </w:num>
  <w:num w:numId="28">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AF3"/>
    <w:rsid w:val="000006E1"/>
    <w:rsid w:val="00002A37"/>
    <w:rsid w:val="0000564C"/>
    <w:rsid w:val="00006446"/>
    <w:rsid w:val="00006896"/>
    <w:rsid w:val="00007CDC"/>
    <w:rsid w:val="00011B28"/>
    <w:rsid w:val="00015D15"/>
    <w:rsid w:val="00016AD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6FC"/>
    <w:rsid w:val="001659C1"/>
    <w:rsid w:val="00170188"/>
    <w:rsid w:val="00173A8E"/>
    <w:rsid w:val="0017502C"/>
    <w:rsid w:val="00176D49"/>
    <w:rsid w:val="0018143F"/>
    <w:rsid w:val="00181FF8"/>
    <w:rsid w:val="00190AC1"/>
    <w:rsid w:val="0019341A"/>
    <w:rsid w:val="00197DF9"/>
    <w:rsid w:val="001A1987"/>
    <w:rsid w:val="001A2564"/>
    <w:rsid w:val="001A6173"/>
    <w:rsid w:val="001A6CBA"/>
    <w:rsid w:val="001B0D97"/>
    <w:rsid w:val="001B5A5D"/>
    <w:rsid w:val="001C07C9"/>
    <w:rsid w:val="001C1CE5"/>
    <w:rsid w:val="001C3D2A"/>
    <w:rsid w:val="001C46AB"/>
    <w:rsid w:val="001C71DD"/>
    <w:rsid w:val="001D51BA"/>
    <w:rsid w:val="001D53E7"/>
    <w:rsid w:val="001D5494"/>
    <w:rsid w:val="001D6342"/>
    <w:rsid w:val="001D6D53"/>
    <w:rsid w:val="001E58E2"/>
    <w:rsid w:val="001E7AED"/>
    <w:rsid w:val="001F323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0964"/>
    <w:rsid w:val="00241559"/>
    <w:rsid w:val="002435B3"/>
    <w:rsid w:val="0024529A"/>
    <w:rsid w:val="002458EB"/>
    <w:rsid w:val="002500C8"/>
    <w:rsid w:val="002540DC"/>
    <w:rsid w:val="00257543"/>
    <w:rsid w:val="002617E7"/>
    <w:rsid w:val="00264228"/>
    <w:rsid w:val="00264334"/>
    <w:rsid w:val="0026473E"/>
    <w:rsid w:val="00266214"/>
    <w:rsid w:val="00267C83"/>
    <w:rsid w:val="0027144F"/>
    <w:rsid w:val="00271813"/>
    <w:rsid w:val="00271F3A"/>
    <w:rsid w:val="00272C2E"/>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8F9"/>
    <w:rsid w:val="002D7637"/>
    <w:rsid w:val="002E17F2"/>
    <w:rsid w:val="002E65DA"/>
    <w:rsid w:val="002E7CAE"/>
    <w:rsid w:val="002F2771"/>
    <w:rsid w:val="002F37A9"/>
    <w:rsid w:val="00301CE6"/>
    <w:rsid w:val="0030256B"/>
    <w:rsid w:val="0030501F"/>
    <w:rsid w:val="00307BA1"/>
    <w:rsid w:val="00311702"/>
    <w:rsid w:val="00311E82"/>
    <w:rsid w:val="00313FD6"/>
    <w:rsid w:val="003143BD"/>
    <w:rsid w:val="00315363"/>
    <w:rsid w:val="003203ED"/>
    <w:rsid w:val="00320D34"/>
    <w:rsid w:val="00322C9F"/>
    <w:rsid w:val="003249D5"/>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75A"/>
    <w:rsid w:val="00385BF0"/>
    <w:rsid w:val="003939FF"/>
    <w:rsid w:val="003A2223"/>
    <w:rsid w:val="003A2A0F"/>
    <w:rsid w:val="003A45A1"/>
    <w:rsid w:val="003A5B0A"/>
    <w:rsid w:val="003A6BAC"/>
    <w:rsid w:val="003A70A4"/>
    <w:rsid w:val="003A7EF3"/>
    <w:rsid w:val="003B159C"/>
    <w:rsid w:val="003B2B6F"/>
    <w:rsid w:val="003B369F"/>
    <w:rsid w:val="003B36A3"/>
    <w:rsid w:val="003B64BB"/>
    <w:rsid w:val="003B7FE5"/>
    <w:rsid w:val="003C11C8"/>
    <w:rsid w:val="003C2702"/>
    <w:rsid w:val="003C290B"/>
    <w:rsid w:val="003C7806"/>
    <w:rsid w:val="003D109F"/>
    <w:rsid w:val="003D2478"/>
    <w:rsid w:val="003D3C45"/>
    <w:rsid w:val="003D5AF3"/>
    <w:rsid w:val="003D5B1F"/>
    <w:rsid w:val="003E15FA"/>
    <w:rsid w:val="003E55E4"/>
    <w:rsid w:val="003E74E3"/>
    <w:rsid w:val="003F05C7"/>
    <w:rsid w:val="003F2CD4"/>
    <w:rsid w:val="003F3B53"/>
    <w:rsid w:val="003F6BBE"/>
    <w:rsid w:val="004000E8"/>
    <w:rsid w:val="00402E2B"/>
    <w:rsid w:val="0040512B"/>
    <w:rsid w:val="00405CA5"/>
    <w:rsid w:val="00407CD3"/>
    <w:rsid w:val="00410134"/>
    <w:rsid w:val="00410B72"/>
    <w:rsid w:val="00410F18"/>
    <w:rsid w:val="0041263E"/>
    <w:rsid w:val="00413AAC"/>
    <w:rsid w:val="00413DEB"/>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930"/>
    <w:rsid w:val="00470C31"/>
    <w:rsid w:val="00471C9D"/>
    <w:rsid w:val="00471DE0"/>
    <w:rsid w:val="004734D0"/>
    <w:rsid w:val="00473D09"/>
    <w:rsid w:val="0047556B"/>
    <w:rsid w:val="00477768"/>
    <w:rsid w:val="00492BC5"/>
    <w:rsid w:val="004963E7"/>
    <w:rsid w:val="004964F1"/>
    <w:rsid w:val="00496ABB"/>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550"/>
    <w:rsid w:val="004F4DA3"/>
    <w:rsid w:val="00503769"/>
    <w:rsid w:val="00506557"/>
    <w:rsid w:val="0050677A"/>
    <w:rsid w:val="005108D8"/>
    <w:rsid w:val="005116F9"/>
    <w:rsid w:val="005153A7"/>
    <w:rsid w:val="00517D69"/>
    <w:rsid w:val="005219CF"/>
    <w:rsid w:val="00534B59"/>
    <w:rsid w:val="00536759"/>
    <w:rsid w:val="00537C62"/>
    <w:rsid w:val="00543A71"/>
    <w:rsid w:val="00546970"/>
    <w:rsid w:val="00554E19"/>
    <w:rsid w:val="0056121F"/>
    <w:rsid w:val="00572505"/>
    <w:rsid w:val="00582809"/>
    <w:rsid w:val="0058798C"/>
    <w:rsid w:val="005900FA"/>
    <w:rsid w:val="005935A4"/>
    <w:rsid w:val="005948C2"/>
    <w:rsid w:val="00595DCA"/>
    <w:rsid w:val="0059779B"/>
    <w:rsid w:val="005A209A"/>
    <w:rsid w:val="005A3694"/>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696"/>
    <w:rsid w:val="00611B83"/>
    <w:rsid w:val="00613257"/>
    <w:rsid w:val="0061547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33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434"/>
    <w:rsid w:val="006D6F08"/>
    <w:rsid w:val="006E062C"/>
    <w:rsid w:val="006E1C82"/>
    <w:rsid w:val="006E28B7"/>
    <w:rsid w:val="006E2A9B"/>
    <w:rsid w:val="006E3310"/>
    <w:rsid w:val="006E4CF3"/>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1A8"/>
    <w:rsid w:val="007348B1"/>
    <w:rsid w:val="007362A6"/>
    <w:rsid w:val="00736D7D"/>
    <w:rsid w:val="00740E58"/>
    <w:rsid w:val="007445A0"/>
    <w:rsid w:val="0074524B"/>
    <w:rsid w:val="00747D8B"/>
    <w:rsid w:val="00751228"/>
    <w:rsid w:val="007571E1"/>
    <w:rsid w:val="00757A16"/>
    <w:rsid w:val="007604B2"/>
    <w:rsid w:val="00765281"/>
    <w:rsid w:val="00765B1D"/>
    <w:rsid w:val="00766BAD"/>
    <w:rsid w:val="007729A2"/>
    <w:rsid w:val="007755F2"/>
    <w:rsid w:val="00776971"/>
    <w:rsid w:val="00780A80"/>
    <w:rsid w:val="0078177E"/>
    <w:rsid w:val="0078304C"/>
    <w:rsid w:val="00783673"/>
    <w:rsid w:val="00785490"/>
    <w:rsid w:val="00791415"/>
    <w:rsid w:val="007925EA"/>
    <w:rsid w:val="00793CD8"/>
    <w:rsid w:val="00795BA5"/>
    <w:rsid w:val="00795C92"/>
    <w:rsid w:val="00796231"/>
    <w:rsid w:val="007A1CB3"/>
    <w:rsid w:val="007A306F"/>
    <w:rsid w:val="007A43A6"/>
    <w:rsid w:val="007A58A6"/>
    <w:rsid w:val="007B3D2D"/>
    <w:rsid w:val="007B50AE"/>
    <w:rsid w:val="007B51DF"/>
    <w:rsid w:val="007B60EA"/>
    <w:rsid w:val="007C05DD"/>
    <w:rsid w:val="007C3D18"/>
    <w:rsid w:val="007C60BF"/>
    <w:rsid w:val="007C6A07"/>
    <w:rsid w:val="007C75A1"/>
    <w:rsid w:val="007C77A5"/>
    <w:rsid w:val="007D04E5"/>
    <w:rsid w:val="007D5901"/>
    <w:rsid w:val="007D7526"/>
    <w:rsid w:val="007E4610"/>
    <w:rsid w:val="007E4715"/>
    <w:rsid w:val="007E505B"/>
    <w:rsid w:val="007E7091"/>
    <w:rsid w:val="007F23D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C1C"/>
    <w:rsid w:val="008677FD"/>
    <w:rsid w:val="008706D4"/>
    <w:rsid w:val="00870F8A"/>
    <w:rsid w:val="008719A4"/>
    <w:rsid w:val="00871D23"/>
    <w:rsid w:val="0087360B"/>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C62"/>
    <w:rsid w:val="008F1EAB"/>
    <w:rsid w:val="008F33DC"/>
    <w:rsid w:val="008F477F"/>
    <w:rsid w:val="009014AC"/>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108"/>
    <w:rsid w:val="00980477"/>
    <w:rsid w:val="0098307F"/>
    <w:rsid w:val="00983F8F"/>
    <w:rsid w:val="00985253"/>
    <w:rsid w:val="009853B3"/>
    <w:rsid w:val="00990630"/>
    <w:rsid w:val="00991761"/>
    <w:rsid w:val="00994DCA"/>
    <w:rsid w:val="009960EC"/>
    <w:rsid w:val="009970DD"/>
    <w:rsid w:val="009A0FBA"/>
    <w:rsid w:val="009A1601"/>
    <w:rsid w:val="009A3BB6"/>
    <w:rsid w:val="009A45D7"/>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BBC"/>
    <w:rsid w:val="00A2351A"/>
    <w:rsid w:val="00A264A9"/>
    <w:rsid w:val="00A26DCF"/>
    <w:rsid w:val="00A27785"/>
    <w:rsid w:val="00A30187"/>
    <w:rsid w:val="00A3448A"/>
    <w:rsid w:val="00A36297"/>
    <w:rsid w:val="00A4131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D11"/>
    <w:rsid w:val="00AC007F"/>
    <w:rsid w:val="00AC2ECD"/>
    <w:rsid w:val="00AC3119"/>
    <w:rsid w:val="00AC46C3"/>
    <w:rsid w:val="00AC49FB"/>
    <w:rsid w:val="00AC5A10"/>
    <w:rsid w:val="00AD0AA3"/>
    <w:rsid w:val="00AD3F94"/>
    <w:rsid w:val="00AD4A5A"/>
    <w:rsid w:val="00AD598D"/>
    <w:rsid w:val="00AE27AC"/>
    <w:rsid w:val="00AE40E0"/>
    <w:rsid w:val="00AE4DBA"/>
    <w:rsid w:val="00AE4F07"/>
    <w:rsid w:val="00AF1C5D"/>
    <w:rsid w:val="00AF2C74"/>
    <w:rsid w:val="00AF42D7"/>
    <w:rsid w:val="00B006FE"/>
    <w:rsid w:val="00B007CB"/>
    <w:rsid w:val="00B02AA9"/>
    <w:rsid w:val="00B02FA3"/>
    <w:rsid w:val="00B05084"/>
    <w:rsid w:val="00B157F9"/>
    <w:rsid w:val="00B20256"/>
    <w:rsid w:val="00B20D09"/>
    <w:rsid w:val="00B273A1"/>
    <w:rsid w:val="00B2763F"/>
    <w:rsid w:val="00B27AAC"/>
    <w:rsid w:val="00B30929"/>
    <w:rsid w:val="00B372AA"/>
    <w:rsid w:val="00B40445"/>
    <w:rsid w:val="00B409E0"/>
    <w:rsid w:val="00B41888"/>
    <w:rsid w:val="00B45A52"/>
    <w:rsid w:val="00B46175"/>
    <w:rsid w:val="00B548B7"/>
    <w:rsid w:val="00B6263D"/>
    <w:rsid w:val="00B62A28"/>
    <w:rsid w:val="00B664C7"/>
    <w:rsid w:val="00B739F6"/>
    <w:rsid w:val="00B81A6C"/>
    <w:rsid w:val="00B85DE5"/>
    <w:rsid w:val="00B90F73"/>
    <w:rsid w:val="00B92CF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C8"/>
    <w:rsid w:val="00BF74C7"/>
    <w:rsid w:val="00C015F1"/>
    <w:rsid w:val="00C01F33"/>
    <w:rsid w:val="00C02CC6"/>
    <w:rsid w:val="00C040F7"/>
    <w:rsid w:val="00C044AB"/>
    <w:rsid w:val="00C05706"/>
    <w:rsid w:val="00C07377"/>
    <w:rsid w:val="00C10478"/>
    <w:rsid w:val="00C12107"/>
    <w:rsid w:val="00C14D4B"/>
    <w:rsid w:val="00C154BB"/>
    <w:rsid w:val="00C25ACC"/>
    <w:rsid w:val="00C268E6"/>
    <w:rsid w:val="00C279B5"/>
    <w:rsid w:val="00C27C45"/>
    <w:rsid w:val="00C3719D"/>
    <w:rsid w:val="00C37CB2"/>
    <w:rsid w:val="00C4687D"/>
    <w:rsid w:val="00C473A5"/>
    <w:rsid w:val="00C50F9C"/>
    <w:rsid w:val="00C54995"/>
    <w:rsid w:val="00C54D41"/>
    <w:rsid w:val="00C60783"/>
    <w:rsid w:val="00C64672"/>
    <w:rsid w:val="00C70697"/>
    <w:rsid w:val="00C72093"/>
    <w:rsid w:val="00C72EF4"/>
    <w:rsid w:val="00C744FE"/>
    <w:rsid w:val="00C75D2F"/>
    <w:rsid w:val="00C767BE"/>
    <w:rsid w:val="00C76E3C"/>
    <w:rsid w:val="00C81568"/>
    <w:rsid w:val="00C86CF3"/>
    <w:rsid w:val="00C9027A"/>
    <w:rsid w:val="00C9068E"/>
    <w:rsid w:val="00C93814"/>
    <w:rsid w:val="00C93C4B"/>
    <w:rsid w:val="00C944AB"/>
    <w:rsid w:val="00C95B40"/>
    <w:rsid w:val="00CA1ED8"/>
    <w:rsid w:val="00CA5D4C"/>
    <w:rsid w:val="00CB0604"/>
    <w:rsid w:val="00CB1F63"/>
    <w:rsid w:val="00CB7170"/>
    <w:rsid w:val="00CC040E"/>
    <w:rsid w:val="00CC111F"/>
    <w:rsid w:val="00CC2011"/>
    <w:rsid w:val="00CC3EA0"/>
    <w:rsid w:val="00CC7B45"/>
    <w:rsid w:val="00CD1188"/>
    <w:rsid w:val="00CD1481"/>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0E1"/>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33B"/>
    <w:rsid w:val="00DD3C69"/>
    <w:rsid w:val="00DE5608"/>
    <w:rsid w:val="00DE58D0"/>
    <w:rsid w:val="00DE654F"/>
    <w:rsid w:val="00DF0B6E"/>
    <w:rsid w:val="00DF15E0"/>
    <w:rsid w:val="00DF37A0"/>
    <w:rsid w:val="00E00E14"/>
    <w:rsid w:val="00E110E7"/>
    <w:rsid w:val="00E11B20"/>
    <w:rsid w:val="00E17FA2"/>
    <w:rsid w:val="00E22330"/>
    <w:rsid w:val="00E30B5A"/>
    <w:rsid w:val="00E3123D"/>
    <w:rsid w:val="00E31461"/>
    <w:rsid w:val="00E31D43"/>
    <w:rsid w:val="00E32608"/>
    <w:rsid w:val="00E34188"/>
    <w:rsid w:val="00E34B6E"/>
    <w:rsid w:val="00E35559"/>
    <w:rsid w:val="00E36711"/>
    <w:rsid w:val="00E3723A"/>
    <w:rsid w:val="00E374A0"/>
    <w:rsid w:val="00E37860"/>
    <w:rsid w:val="00E446F1"/>
    <w:rsid w:val="00E46886"/>
    <w:rsid w:val="00E47AEF"/>
    <w:rsid w:val="00E53B75"/>
    <w:rsid w:val="00E54E3B"/>
    <w:rsid w:val="00E57565"/>
    <w:rsid w:val="00E57A59"/>
    <w:rsid w:val="00E63838"/>
    <w:rsid w:val="00E64434"/>
    <w:rsid w:val="00E67C51"/>
    <w:rsid w:val="00E72EFC"/>
    <w:rsid w:val="00E758EC"/>
    <w:rsid w:val="00E76248"/>
    <w:rsid w:val="00E76C36"/>
    <w:rsid w:val="00E8234C"/>
    <w:rsid w:val="00E83AA9"/>
    <w:rsid w:val="00E84AE6"/>
    <w:rsid w:val="00E85928"/>
    <w:rsid w:val="00E86C89"/>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EF6A1F"/>
    <w:rsid w:val="00EF7280"/>
    <w:rsid w:val="00F01330"/>
    <w:rsid w:val="00F0528D"/>
    <w:rsid w:val="00F06C67"/>
    <w:rsid w:val="00F06DFD"/>
    <w:rsid w:val="00F071D1"/>
    <w:rsid w:val="00F07533"/>
    <w:rsid w:val="00F10629"/>
    <w:rsid w:val="00F15FA5"/>
    <w:rsid w:val="00F209B7"/>
    <w:rsid w:val="00F20F5C"/>
    <w:rsid w:val="00F2376F"/>
    <w:rsid w:val="00F243D8"/>
    <w:rsid w:val="00F25B5B"/>
    <w:rsid w:val="00F30828"/>
    <w:rsid w:val="00F313D6"/>
    <w:rsid w:val="00F40F0C"/>
    <w:rsid w:val="00F4766C"/>
    <w:rsid w:val="00F5060E"/>
    <w:rsid w:val="00F507D1"/>
    <w:rsid w:val="00F5107B"/>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C7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BFB19"/>
  <w15:chartTrackingRefBased/>
  <w15:docId w15:val="{6B557BEE-3DB7-4B59-B712-880320EE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598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0696055">
      <w:bodyDiv w:val="1"/>
      <w:marLeft w:val="0"/>
      <w:marRight w:val="0"/>
      <w:marTop w:val="0"/>
      <w:marBottom w:val="0"/>
      <w:divBdr>
        <w:top w:val="none" w:sz="0" w:space="0" w:color="auto"/>
        <w:left w:val="none" w:sz="0" w:space="0" w:color="auto"/>
        <w:bottom w:val="none" w:sz="0" w:space="0" w:color="auto"/>
        <w:right w:val="none" w:sz="0" w:space="0" w:color="auto"/>
      </w:divBdr>
    </w:div>
    <w:div w:id="985475315">
      <w:bodyDiv w:val="1"/>
      <w:marLeft w:val="0"/>
      <w:marRight w:val="0"/>
      <w:marTop w:val="0"/>
      <w:marBottom w:val="0"/>
      <w:divBdr>
        <w:top w:val="none" w:sz="0" w:space="0" w:color="auto"/>
        <w:left w:val="none" w:sz="0" w:space="0" w:color="auto"/>
        <w:bottom w:val="none" w:sz="0" w:space="0" w:color="auto"/>
        <w:right w:val="none" w:sz="0" w:space="0" w:color="auto"/>
      </w:divBdr>
    </w:div>
    <w:div w:id="1483161972">
      <w:bodyDiv w:val="1"/>
      <w:marLeft w:val="0"/>
      <w:marRight w:val="0"/>
      <w:marTop w:val="0"/>
      <w:marBottom w:val="0"/>
      <w:divBdr>
        <w:top w:val="none" w:sz="0" w:space="0" w:color="auto"/>
        <w:left w:val="none" w:sz="0" w:space="0" w:color="auto"/>
        <w:bottom w:val="none" w:sz="0" w:space="0" w:color="auto"/>
        <w:right w:val="none" w:sz="0" w:space="0" w:color="auto"/>
      </w:divBdr>
    </w:div>
    <w:div w:id="162353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213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20AB\Documents_Yufei\3GPP_meetings\RAN_meetings\RAN_xx_2021June\RP-21xxxxx%20URLLC_C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EC72704-DBBD-4EE3-9CA3-BAE0327C7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RP-21xxxxx URLLC_CSI</Template>
  <TotalTime>1</TotalTime>
  <Pages>4</Pages>
  <Words>1678</Words>
  <Characters>8899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10556</CharactersWithSpaces>
  <SharedDoc>false</SharedDoc>
  <HLinks>
    <vt:vector size="42" baseType="variant">
      <vt:variant>
        <vt:i4>7340060</vt:i4>
      </vt:variant>
      <vt:variant>
        <vt:i4>27</vt:i4>
      </vt:variant>
      <vt:variant>
        <vt:i4>0</vt:i4>
      </vt:variant>
      <vt:variant>
        <vt:i4>5</vt:i4>
      </vt:variant>
      <vt:variant>
        <vt:lpwstr>C:\Users\wanshic\OneDrive - Qualcomm\Documents\Standards\3GPP Standards\Meeting Documents\TSGR1_104\Docs\R1-2102131.zip</vt:lpwstr>
      </vt:variant>
      <vt:variant>
        <vt:lpwstr/>
      </vt:variant>
      <vt:variant>
        <vt:i4>1310768</vt:i4>
      </vt:variant>
      <vt:variant>
        <vt:i4>23</vt:i4>
      </vt:variant>
      <vt:variant>
        <vt:i4>0</vt:i4>
      </vt:variant>
      <vt:variant>
        <vt:i4>5</vt:i4>
      </vt:variant>
      <vt:variant>
        <vt:lpwstr/>
      </vt:variant>
      <vt:variant>
        <vt:lpwstr>_Toc73614554</vt:lpwstr>
      </vt:variant>
      <vt:variant>
        <vt:i4>1245232</vt:i4>
      </vt:variant>
      <vt:variant>
        <vt:i4>17</vt:i4>
      </vt:variant>
      <vt:variant>
        <vt:i4>0</vt:i4>
      </vt:variant>
      <vt:variant>
        <vt:i4>5</vt:i4>
      </vt:variant>
      <vt:variant>
        <vt:lpwstr/>
      </vt:variant>
      <vt:variant>
        <vt:lpwstr>_Toc73614553</vt:lpwstr>
      </vt:variant>
      <vt:variant>
        <vt:i4>1179696</vt:i4>
      </vt:variant>
      <vt:variant>
        <vt:i4>14</vt:i4>
      </vt:variant>
      <vt:variant>
        <vt:i4>0</vt:i4>
      </vt:variant>
      <vt:variant>
        <vt:i4>5</vt:i4>
      </vt:variant>
      <vt:variant>
        <vt:lpwstr/>
      </vt:variant>
      <vt:variant>
        <vt:lpwstr>_Toc73614552</vt:lpwstr>
      </vt:variant>
      <vt:variant>
        <vt:i4>1114160</vt:i4>
      </vt:variant>
      <vt:variant>
        <vt:i4>11</vt:i4>
      </vt:variant>
      <vt:variant>
        <vt:i4>0</vt:i4>
      </vt:variant>
      <vt:variant>
        <vt:i4>5</vt:i4>
      </vt:variant>
      <vt:variant>
        <vt:lpwstr/>
      </vt:variant>
      <vt:variant>
        <vt:lpwstr>_Toc73614551</vt:lpwstr>
      </vt:variant>
      <vt:variant>
        <vt:i4>1048624</vt:i4>
      </vt:variant>
      <vt:variant>
        <vt:i4>8</vt:i4>
      </vt:variant>
      <vt:variant>
        <vt:i4>0</vt:i4>
      </vt:variant>
      <vt:variant>
        <vt:i4>5</vt:i4>
      </vt:variant>
      <vt:variant>
        <vt:lpwstr/>
      </vt:variant>
      <vt:variant>
        <vt:lpwstr>_Toc73614550</vt:lpwstr>
      </vt:variant>
      <vt:variant>
        <vt:i4>1638449</vt:i4>
      </vt:variant>
      <vt:variant>
        <vt:i4>5</vt:i4>
      </vt:variant>
      <vt:variant>
        <vt:i4>0</vt:i4>
      </vt:variant>
      <vt:variant>
        <vt:i4>5</vt:i4>
      </vt:variant>
      <vt:variant>
        <vt:lpwstr/>
      </vt:variant>
      <vt:variant>
        <vt:lpwstr>_Toc73614549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Alexey Shapin</cp:lastModifiedBy>
  <cp:revision>2</cp:revision>
  <cp:lastPrinted>2008-01-31T07:09:00Z</cp:lastPrinted>
  <dcterms:created xsi:type="dcterms:W3CDTF">2021-06-07T16:53:00Z</dcterms:created>
  <dcterms:modified xsi:type="dcterms:W3CDTF">2021-06-07T16:53:00Z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